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63C1FAAD" w:rsidR="00F31793" w:rsidRPr="00F31793" w:rsidRDefault="00F31793"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31793">
        <w:rPr>
          <w:rFonts w:eastAsia="MS Mincho" w:cs="Arial"/>
          <w:bCs/>
          <w:sz w:val="28"/>
          <w:szCs w:val="24"/>
          <w:lang w:val="en-US"/>
        </w:rPr>
        <w:t>3GPP TSG</w:t>
      </w:r>
      <w:r>
        <w:rPr>
          <w:rFonts w:eastAsia="MS Mincho" w:cs="Arial"/>
          <w:bCs/>
          <w:sz w:val="28"/>
          <w:szCs w:val="24"/>
          <w:lang w:val="en-US"/>
        </w:rPr>
        <w:t xml:space="preserve"> RAN WG1 </w:t>
      </w:r>
      <w:r w:rsidR="005E7A03">
        <w:rPr>
          <w:rFonts w:cs="Arial"/>
          <w:bCs/>
          <w:sz w:val="28"/>
        </w:rPr>
        <w:t>#96</w:t>
      </w:r>
      <w:r>
        <w:rPr>
          <w:rFonts w:eastAsia="MS Mincho" w:cs="Arial"/>
          <w:bCs/>
          <w:sz w:val="28"/>
          <w:szCs w:val="24"/>
          <w:lang w:val="en-US"/>
        </w:rPr>
        <w:t xml:space="preserve">   </w:t>
      </w:r>
      <w:r w:rsidRPr="00F31793">
        <w:rPr>
          <w:rFonts w:eastAsia="MS Mincho" w:cs="Arial"/>
          <w:bCs/>
          <w:sz w:val="28"/>
          <w:szCs w:val="24"/>
          <w:lang w:val="en-US"/>
        </w:rPr>
        <w:tab/>
      </w:r>
      <w:r>
        <w:rPr>
          <w:rFonts w:eastAsia="MS Mincho" w:cs="Arial"/>
          <w:bCs/>
          <w:sz w:val="28"/>
          <w:szCs w:val="24"/>
          <w:lang w:val="en-US"/>
        </w:rPr>
        <w:t xml:space="preserve">    </w:t>
      </w:r>
      <w:r w:rsidR="004548FB">
        <w:rPr>
          <w:rFonts w:eastAsia="MS Mincho" w:cs="Arial"/>
          <w:bCs/>
          <w:sz w:val="28"/>
          <w:szCs w:val="24"/>
          <w:lang w:val="en-US"/>
        </w:rPr>
        <w:tab/>
      </w:r>
      <w:r w:rsidR="007D4048" w:rsidRPr="007D4048">
        <w:rPr>
          <w:rFonts w:eastAsia="MS Mincho" w:cs="Arial"/>
          <w:bCs/>
          <w:sz w:val="28"/>
          <w:szCs w:val="24"/>
          <w:lang w:val="en-US"/>
        </w:rPr>
        <w:t>R1-1901790</w:t>
      </w:r>
    </w:p>
    <w:p w14:paraId="15B64DFA" w14:textId="23BAA859" w:rsidR="00F31793" w:rsidRDefault="005E7A03" w:rsidP="00F31793">
      <w:pPr>
        <w:pStyle w:val="Header"/>
        <w:tabs>
          <w:tab w:val="center" w:pos="4536"/>
          <w:tab w:val="right" w:pos="8280"/>
          <w:tab w:val="right" w:pos="9781"/>
        </w:tabs>
        <w:ind w:right="-58"/>
        <w:jc w:val="both"/>
        <w:rPr>
          <w:rFonts w:eastAsia="MS Mincho" w:cs="Arial"/>
          <w:bCs/>
          <w:sz w:val="28"/>
          <w:szCs w:val="24"/>
          <w:lang w:val="en-US"/>
        </w:rPr>
      </w:pPr>
      <w:r>
        <w:rPr>
          <w:rFonts w:eastAsia="MS Mincho" w:cs="Arial"/>
          <w:bCs/>
          <w:sz w:val="28"/>
          <w:lang w:eastAsia="ja-JP"/>
        </w:rPr>
        <w:t>Athens, Greece, 25</w:t>
      </w:r>
      <w:r w:rsidRPr="008F5A33">
        <w:rPr>
          <w:rFonts w:eastAsia="MS Mincho" w:cs="Arial"/>
          <w:bCs/>
          <w:sz w:val="28"/>
          <w:vertAlign w:val="superscript"/>
          <w:lang w:eastAsia="ja-JP"/>
        </w:rPr>
        <w:t>th</w:t>
      </w:r>
      <w:r>
        <w:rPr>
          <w:rFonts w:eastAsia="MS Mincho" w:cs="Arial"/>
          <w:bCs/>
          <w:sz w:val="28"/>
          <w:lang w:eastAsia="ja-JP"/>
        </w:rPr>
        <w:t xml:space="preserve"> February – 1</w:t>
      </w:r>
      <w:r w:rsidRPr="008F5A33">
        <w:rPr>
          <w:rFonts w:eastAsia="MS Mincho" w:cs="Arial"/>
          <w:bCs/>
          <w:sz w:val="28"/>
          <w:vertAlign w:val="superscript"/>
          <w:lang w:eastAsia="ja-JP"/>
        </w:rPr>
        <w:t>st</w:t>
      </w:r>
      <w:r>
        <w:rPr>
          <w:rFonts w:eastAsia="MS Mincho" w:cs="Arial"/>
          <w:bCs/>
          <w:sz w:val="28"/>
          <w:lang w:eastAsia="ja-JP"/>
        </w:rPr>
        <w:t xml:space="preserve"> March, 2019</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777777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D3173">
        <w:rPr>
          <w:rFonts w:cs="Arial"/>
          <w:bCs/>
          <w:sz w:val="28"/>
          <w:szCs w:val="24"/>
          <w:lang w:val="en-US" w:eastAsia="zh-TW"/>
        </w:rPr>
        <w:t>7</w:t>
      </w:r>
      <w:r w:rsidR="00793A0D">
        <w:rPr>
          <w:rFonts w:cs="Arial"/>
          <w:bCs/>
          <w:sz w:val="28"/>
          <w:szCs w:val="24"/>
          <w:lang w:val="en-US" w:eastAsia="zh-TW"/>
        </w:rPr>
        <w:t>.</w:t>
      </w:r>
      <w:r w:rsidR="00F66D30">
        <w:rPr>
          <w:rFonts w:cs="Arial"/>
          <w:bCs/>
          <w:sz w:val="28"/>
          <w:szCs w:val="24"/>
          <w:lang w:val="en-US" w:eastAsia="zh-TW"/>
        </w:rPr>
        <w:t>2</w:t>
      </w:r>
      <w:r w:rsidR="00793A0D">
        <w:rPr>
          <w:rFonts w:cs="Arial"/>
          <w:bCs/>
          <w:sz w:val="28"/>
          <w:szCs w:val="24"/>
          <w:lang w:val="en-US" w:eastAsia="zh-TW"/>
        </w:rPr>
        <w:t>.</w:t>
      </w:r>
      <w:r w:rsidR="00F66D30">
        <w:rPr>
          <w:rFonts w:cs="Arial"/>
          <w:bCs/>
          <w:sz w:val="28"/>
          <w:szCs w:val="24"/>
          <w:lang w:val="en-US" w:eastAsia="zh-TW"/>
        </w:rPr>
        <w:t>8</w:t>
      </w:r>
      <w:r w:rsidR="00793A0D">
        <w:rPr>
          <w:rFonts w:cs="Arial"/>
          <w:bCs/>
          <w:sz w:val="28"/>
          <w:szCs w:val="24"/>
          <w:lang w:val="en-US" w:eastAsia="zh-TW"/>
        </w:rPr>
        <w:t>.</w:t>
      </w:r>
      <w:r w:rsidR="00C46B4D">
        <w:rPr>
          <w:rFonts w:cs="Arial"/>
          <w:bCs/>
          <w:sz w:val="28"/>
          <w:szCs w:val="24"/>
          <w:lang w:val="en-US" w:eastAsia="zh-TW"/>
        </w:rPr>
        <w:t>3</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7777777"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F66D30">
        <w:rPr>
          <w:rFonts w:eastAsia="MS Mincho" w:cs="Arial"/>
          <w:bCs/>
          <w:sz w:val="28"/>
          <w:szCs w:val="24"/>
          <w:lang w:val="en-US"/>
        </w:rPr>
        <w:t>Enhancements on multi-beam operation</w:t>
      </w:r>
      <w:r w:rsidR="005554FF">
        <w:rPr>
          <w:rFonts w:eastAsia="MS Mincho" w:cs="Arial"/>
          <w:bCs/>
          <w:sz w:val="28"/>
          <w:szCs w:val="24"/>
          <w:lang w:val="en-US"/>
        </w:rPr>
        <w:t>s</w:t>
      </w:r>
    </w:p>
    <w:p w14:paraId="59B036AD" w14:textId="7777777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r w:rsidR="00615E57" w:rsidRPr="00FF32BA">
        <w:rPr>
          <w:rFonts w:eastAsia="MS Mincho" w:cs="Arial"/>
          <w:b/>
          <w:sz w:val="32"/>
          <w:szCs w:val="32"/>
          <w:lang w:val="en-US"/>
        </w:rPr>
        <w:t xml:space="preserve">Introduction </w:t>
      </w:r>
    </w:p>
    <w:p w14:paraId="09AB0527" w14:textId="77777777" w:rsidR="00F31793" w:rsidRPr="00F31793" w:rsidRDefault="00F31793" w:rsidP="00F31793">
      <w:pPr>
        <w:pStyle w:val="LGTdoc"/>
        <w:spacing w:afterLines="0" w:line="240" w:lineRule="auto"/>
        <w:rPr>
          <w:b/>
          <w:sz w:val="20"/>
          <w:szCs w:val="20"/>
          <w:highlight w:val="green"/>
        </w:rPr>
      </w:pPr>
      <w:r w:rsidRPr="00F31793">
        <w:rPr>
          <w:b/>
          <w:sz w:val="20"/>
          <w:szCs w:val="20"/>
          <w:highlight w:val="green"/>
        </w:rPr>
        <w:t>Agreement</w:t>
      </w:r>
      <w:r w:rsidRPr="00F31793">
        <w:rPr>
          <w:rFonts w:hint="eastAsia"/>
          <w:b/>
          <w:sz w:val="20"/>
          <w:szCs w:val="20"/>
          <w:highlight w:val="green"/>
        </w:rPr>
        <w:t xml:space="preserve"> </w:t>
      </w:r>
    </w:p>
    <w:p w14:paraId="00F15D9F" w14:textId="77777777" w:rsidR="00F31793" w:rsidRPr="00F31793" w:rsidRDefault="00F31793" w:rsidP="00F31793">
      <w:pPr>
        <w:pStyle w:val="LGTdoc"/>
        <w:spacing w:afterLines="0" w:line="240" w:lineRule="auto"/>
        <w:rPr>
          <w:sz w:val="20"/>
          <w:szCs w:val="20"/>
        </w:rPr>
      </w:pPr>
      <w:r w:rsidRPr="00F31793">
        <w:rPr>
          <w:sz w:val="20"/>
          <w:szCs w:val="20"/>
        </w:rPr>
        <w:t>In Rel-16, an identifier (ID) that can be used at least for indicating panel-specific UL transmission is supported, where detailed usages for the panel-specific UL transmission are FFS</w:t>
      </w:r>
    </w:p>
    <w:p w14:paraId="46A155EF" w14:textId="77777777" w:rsidR="00F31793" w:rsidRPr="00F31793" w:rsidRDefault="00F31793" w:rsidP="00F31793">
      <w:pPr>
        <w:pStyle w:val="LGTdoc"/>
        <w:numPr>
          <w:ilvl w:val="0"/>
          <w:numId w:val="14"/>
        </w:numPr>
        <w:spacing w:afterLines="0" w:line="240" w:lineRule="auto"/>
        <w:rPr>
          <w:sz w:val="20"/>
          <w:szCs w:val="20"/>
        </w:rPr>
      </w:pPr>
      <w:r w:rsidRPr="00F31793">
        <w:rPr>
          <w:sz w:val="20"/>
          <w:szCs w:val="20"/>
        </w:rPr>
        <w:t>The ID should be defined considering the possibility to reuse/modification of Rel-15 specification support or introducing new ID</w:t>
      </w:r>
    </w:p>
    <w:p w14:paraId="366A7C01" w14:textId="77777777" w:rsidR="00F31793" w:rsidRPr="00F31793" w:rsidRDefault="00F31793" w:rsidP="00F31793">
      <w:pPr>
        <w:pStyle w:val="LGTdoc"/>
        <w:numPr>
          <w:ilvl w:val="0"/>
          <w:numId w:val="14"/>
        </w:numPr>
        <w:spacing w:afterLines="0" w:line="240" w:lineRule="auto"/>
        <w:rPr>
          <w:sz w:val="20"/>
          <w:szCs w:val="20"/>
        </w:rPr>
      </w:pPr>
      <w:r w:rsidRPr="00F31793">
        <w:rPr>
          <w:bCs/>
          <w:color w:val="000000"/>
          <w:sz w:val="20"/>
          <w:szCs w:val="20"/>
        </w:rPr>
        <w:t>Note: RAN1 to avoid unnecessary specification support requiring UE to explicitly disclose its UL antenna panel implementation</w:t>
      </w:r>
    </w:p>
    <w:p w14:paraId="2E2410ED" w14:textId="77777777" w:rsidR="00F31793" w:rsidRPr="00F31793" w:rsidRDefault="00F31793" w:rsidP="00F31793">
      <w:pPr>
        <w:pStyle w:val="LGTdoc"/>
        <w:numPr>
          <w:ilvl w:val="0"/>
          <w:numId w:val="14"/>
        </w:numPr>
        <w:spacing w:afterLines="0" w:line="240" w:lineRule="auto"/>
        <w:rPr>
          <w:sz w:val="20"/>
          <w:szCs w:val="20"/>
          <w:lang w:eastAsia="x-none"/>
        </w:rPr>
      </w:pPr>
      <w:r w:rsidRPr="00F31793">
        <w:rPr>
          <w:sz w:val="20"/>
          <w:szCs w:val="20"/>
        </w:rPr>
        <w:t>FFS: Whether UE capability signalling is introduced for panel-specific UL transmission</w:t>
      </w:r>
    </w:p>
    <w:p w14:paraId="38AA106A" w14:textId="77777777" w:rsidR="00F31793" w:rsidRPr="00F31793" w:rsidRDefault="00F31793" w:rsidP="00F31793">
      <w:pPr>
        <w:rPr>
          <w:sz w:val="20"/>
          <w:lang w:eastAsia="x-none"/>
        </w:rPr>
      </w:pPr>
    </w:p>
    <w:p w14:paraId="6F4494D0" w14:textId="77777777" w:rsidR="00F31793" w:rsidRPr="00F31793" w:rsidRDefault="00F31793" w:rsidP="00F31793">
      <w:pPr>
        <w:pStyle w:val="ListParagraph"/>
        <w:ind w:left="0"/>
        <w:jc w:val="both"/>
        <w:rPr>
          <w:b/>
          <w:sz w:val="20"/>
          <w:highlight w:val="green"/>
        </w:rPr>
      </w:pPr>
      <w:r w:rsidRPr="00F31793">
        <w:rPr>
          <w:b/>
          <w:sz w:val="20"/>
          <w:highlight w:val="green"/>
        </w:rPr>
        <w:t>Agreement</w:t>
      </w:r>
    </w:p>
    <w:p w14:paraId="350DD564" w14:textId="77777777" w:rsidR="00F31793" w:rsidRPr="00F31793" w:rsidRDefault="00F31793" w:rsidP="00F31793">
      <w:pPr>
        <w:pStyle w:val="ListParagraph"/>
        <w:ind w:left="0"/>
        <w:jc w:val="both"/>
        <w:rPr>
          <w:sz w:val="20"/>
        </w:rPr>
      </w:pPr>
      <w:r w:rsidRPr="00F31793">
        <w:rPr>
          <w:sz w:val="20"/>
        </w:rPr>
        <w:t>RAN1 has identified the following scenarios to be important for SCell BFR</w:t>
      </w:r>
    </w:p>
    <w:p w14:paraId="6EC03178" w14:textId="77777777" w:rsidR="00F31793" w:rsidRPr="00F31793" w:rsidRDefault="00F31793" w:rsidP="00F31793">
      <w:pPr>
        <w:pStyle w:val="ListParagraph"/>
        <w:numPr>
          <w:ilvl w:val="0"/>
          <w:numId w:val="28"/>
        </w:numPr>
        <w:spacing w:after="0"/>
        <w:jc w:val="both"/>
        <w:rPr>
          <w:sz w:val="20"/>
        </w:rPr>
      </w:pPr>
      <w:r w:rsidRPr="00F31793">
        <w:rPr>
          <w:sz w:val="20"/>
        </w:rPr>
        <w:t>Scenario 1: SCell with both uplink and downlink</w:t>
      </w:r>
    </w:p>
    <w:p w14:paraId="5E36C81F" w14:textId="77777777" w:rsidR="00F31793" w:rsidRPr="00F31793" w:rsidRDefault="00F31793" w:rsidP="00F31793">
      <w:pPr>
        <w:pStyle w:val="ListParagraph"/>
        <w:numPr>
          <w:ilvl w:val="0"/>
          <w:numId w:val="28"/>
        </w:numPr>
        <w:spacing w:after="0"/>
        <w:jc w:val="both"/>
        <w:rPr>
          <w:sz w:val="20"/>
        </w:rPr>
      </w:pPr>
      <w:r w:rsidRPr="00F31793">
        <w:rPr>
          <w:sz w:val="20"/>
        </w:rPr>
        <w:t>Scenario 2: SCell with downlink only</w:t>
      </w:r>
    </w:p>
    <w:p w14:paraId="76A82D18" w14:textId="77777777" w:rsidR="00F31793" w:rsidRPr="00F31793" w:rsidRDefault="00F31793" w:rsidP="00F31793">
      <w:pPr>
        <w:pStyle w:val="ListParagraph"/>
        <w:numPr>
          <w:ilvl w:val="0"/>
          <w:numId w:val="28"/>
        </w:numPr>
        <w:spacing w:after="0"/>
        <w:jc w:val="both"/>
        <w:rPr>
          <w:sz w:val="20"/>
        </w:rPr>
      </w:pPr>
      <w:r w:rsidRPr="00F31793">
        <w:rPr>
          <w:sz w:val="20"/>
        </w:rPr>
        <w:t>PCell can be in FR1 or FR2 for scenarios above</w:t>
      </w:r>
    </w:p>
    <w:p w14:paraId="2CD6D7C6" w14:textId="77777777" w:rsidR="00F31793" w:rsidRPr="00F31793" w:rsidRDefault="00F31793" w:rsidP="00F31793">
      <w:pPr>
        <w:rPr>
          <w:sz w:val="20"/>
          <w:lang w:eastAsia="x-none"/>
        </w:rPr>
      </w:pPr>
    </w:p>
    <w:p w14:paraId="492089B1" w14:textId="77777777" w:rsidR="00F31793" w:rsidRPr="00F31793" w:rsidRDefault="00F31793" w:rsidP="00F31793">
      <w:pPr>
        <w:rPr>
          <w:b/>
          <w:sz w:val="20"/>
          <w:lang w:eastAsia="x-none"/>
        </w:rPr>
      </w:pPr>
      <w:r w:rsidRPr="00F31793">
        <w:rPr>
          <w:b/>
          <w:sz w:val="20"/>
          <w:highlight w:val="green"/>
          <w:lang w:eastAsia="x-none"/>
        </w:rPr>
        <w:t>Agreement</w:t>
      </w:r>
    </w:p>
    <w:p w14:paraId="004F1F13" w14:textId="77777777" w:rsidR="00F31793" w:rsidRPr="00F31793" w:rsidRDefault="00F31793" w:rsidP="00F31793">
      <w:pPr>
        <w:pStyle w:val="ListParagraph"/>
        <w:numPr>
          <w:ilvl w:val="0"/>
          <w:numId w:val="27"/>
        </w:numPr>
        <w:spacing w:after="0"/>
        <w:jc w:val="both"/>
        <w:rPr>
          <w:sz w:val="20"/>
        </w:rPr>
      </w:pPr>
      <w:r w:rsidRPr="00F31793">
        <w:rPr>
          <w:sz w:val="20"/>
        </w:rPr>
        <w:t>Support L1-SINR measured from</w:t>
      </w:r>
    </w:p>
    <w:p w14:paraId="7667D239" w14:textId="77777777" w:rsidR="00F31793" w:rsidRPr="00F31793" w:rsidRDefault="00F31793" w:rsidP="00F31793">
      <w:pPr>
        <w:pStyle w:val="ListParagraph"/>
        <w:numPr>
          <w:ilvl w:val="1"/>
          <w:numId w:val="27"/>
        </w:numPr>
        <w:spacing w:after="0"/>
        <w:jc w:val="both"/>
        <w:rPr>
          <w:sz w:val="20"/>
        </w:rPr>
      </w:pPr>
      <w:r w:rsidRPr="00F31793">
        <w:rPr>
          <w:sz w:val="20"/>
        </w:rPr>
        <w:t>For signal part, SSB and/or NZP CSI-RS</w:t>
      </w:r>
    </w:p>
    <w:p w14:paraId="07F8C900" w14:textId="77777777" w:rsidR="00F31793" w:rsidRPr="00F31793" w:rsidRDefault="00F31793" w:rsidP="00F31793">
      <w:pPr>
        <w:pStyle w:val="ListParagraph"/>
        <w:numPr>
          <w:ilvl w:val="1"/>
          <w:numId w:val="27"/>
        </w:numPr>
        <w:spacing w:after="0"/>
        <w:jc w:val="both"/>
        <w:rPr>
          <w:sz w:val="20"/>
        </w:rPr>
      </w:pPr>
      <w:r w:rsidRPr="00F31793">
        <w:rPr>
          <w:sz w:val="20"/>
        </w:rPr>
        <w:t>FFS: For interference part</w:t>
      </w:r>
    </w:p>
    <w:p w14:paraId="6E43C343" w14:textId="77777777" w:rsidR="00F31793" w:rsidRPr="00F31793" w:rsidRDefault="00F31793" w:rsidP="00F31793">
      <w:pPr>
        <w:pStyle w:val="ListParagraph"/>
        <w:numPr>
          <w:ilvl w:val="0"/>
          <w:numId w:val="27"/>
        </w:numPr>
        <w:spacing w:after="0"/>
        <w:jc w:val="both"/>
        <w:rPr>
          <w:sz w:val="20"/>
        </w:rPr>
      </w:pPr>
      <w:r w:rsidRPr="00F31793">
        <w:rPr>
          <w:sz w:val="20"/>
        </w:rPr>
        <w:t>Companies are encouraged to provide simulation results on how to measure/define L1-SINR, e.g. whether interference is measured from dedicated IMR</w:t>
      </w:r>
    </w:p>
    <w:p w14:paraId="38A6DF5F" w14:textId="77777777" w:rsidR="00F31793" w:rsidRPr="00F31793" w:rsidRDefault="00F31793" w:rsidP="00F31793">
      <w:pPr>
        <w:pStyle w:val="ListParagraph"/>
        <w:numPr>
          <w:ilvl w:val="1"/>
          <w:numId w:val="27"/>
        </w:numPr>
        <w:spacing w:after="0"/>
        <w:jc w:val="both"/>
        <w:rPr>
          <w:sz w:val="20"/>
        </w:rPr>
      </w:pPr>
      <w:r w:rsidRPr="00F31793">
        <w:rPr>
          <w:sz w:val="20"/>
        </w:rPr>
        <w:t>For example, take Rel-15 L1-RSRP and/or SINR specified in 38.215 as a comparative reference for evaluation purposes</w:t>
      </w:r>
    </w:p>
    <w:p w14:paraId="74D40711" w14:textId="77777777" w:rsidR="00F31793" w:rsidRPr="00F31793" w:rsidRDefault="00F31793" w:rsidP="00F31793">
      <w:pPr>
        <w:pStyle w:val="ListParagraph"/>
        <w:ind w:left="0"/>
        <w:jc w:val="both"/>
        <w:rPr>
          <w:b/>
          <w:sz w:val="20"/>
        </w:rPr>
      </w:pPr>
    </w:p>
    <w:p w14:paraId="052002ED" w14:textId="77777777" w:rsidR="00F31793" w:rsidRPr="00F31793" w:rsidRDefault="00F31793" w:rsidP="00F31793">
      <w:pPr>
        <w:pStyle w:val="LGTdoc"/>
        <w:spacing w:afterLines="0" w:line="240" w:lineRule="auto"/>
        <w:rPr>
          <w:b/>
          <w:sz w:val="20"/>
          <w:szCs w:val="20"/>
          <w:highlight w:val="green"/>
        </w:rPr>
      </w:pPr>
      <w:r w:rsidRPr="00F31793">
        <w:rPr>
          <w:b/>
          <w:color w:val="000000"/>
          <w:sz w:val="20"/>
          <w:szCs w:val="20"/>
          <w:highlight w:val="green"/>
        </w:rPr>
        <w:t>Agreement</w:t>
      </w:r>
      <w:r w:rsidRPr="00F31793">
        <w:rPr>
          <w:rFonts w:hint="eastAsia"/>
          <w:b/>
          <w:sz w:val="20"/>
          <w:szCs w:val="20"/>
          <w:highlight w:val="green"/>
        </w:rPr>
        <w:t xml:space="preserve">: </w:t>
      </w:r>
    </w:p>
    <w:p w14:paraId="381CF95E" w14:textId="77777777" w:rsidR="00F31793" w:rsidRPr="00F31793" w:rsidRDefault="00F31793" w:rsidP="00F31793">
      <w:pPr>
        <w:pStyle w:val="LGTdoc"/>
        <w:spacing w:afterLines="0" w:line="240" w:lineRule="auto"/>
        <w:rPr>
          <w:sz w:val="20"/>
          <w:szCs w:val="20"/>
        </w:rPr>
      </w:pPr>
      <w:r w:rsidRPr="00F31793">
        <w:rPr>
          <w:sz w:val="20"/>
          <w:szCs w:val="20"/>
        </w:rPr>
        <w:t>Decide (agree on) either one of the followings in RAN1 NR-AH 1901:</w:t>
      </w:r>
    </w:p>
    <w:p w14:paraId="4A9758A0" w14:textId="77777777" w:rsidR="00F31793" w:rsidRPr="00F31793" w:rsidRDefault="00F31793" w:rsidP="00F31793">
      <w:pPr>
        <w:pStyle w:val="LGTdoc"/>
        <w:numPr>
          <w:ilvl w:val="0"/>
          <w:numId w:val="26"/>
        </w:numPr>
        <w:spacing w:afterLines="0" w:line="240" w:lineRule="auto"/>
        <w:rPr>
          <w:sz w:val="20"/>
          <w:szCs w:val="20"/>
        </w:rPr>
      </w:pPr>
      <w:r w:rsidRPr="00F31793">
        <w:rPr>
          <w:sz w:val="20"/>
          <w:szCs w:val="20"/>
        </w:rPr>
        <w:t>Alt.1: Support sub-time unit for beam management RS shorter than 1 OFDM symbol in a reference numerology.</w:t>
      </w:r>
    </w:p>
    <w:p w14:paraId="2B2FC4EC" w14:textId="77777777" w:rsidR="00F31793" w:rsidRPr="00F31793" w:rsidRDefault="00F31793" w:rsidP="00F31793">
      <w:pPr>
        <w:pStyle w:val="LGTdoc"/>
        <w:numPr>
          <w:ilvl w:val="1"/>
          <w:numId w:val="26"/>
        </w:numPr>
        <w:spacing w:afterLines="0" w:line="240" w:lineRule="auto"/>
        <w:rPr>
          <w:sz w:val="20"/>
          <w:szCs w:val="20"/>
        </w:rPr>
      </w:pPr>
      <w:r w:rsidRPr="00F31793">
        <w:rPr>
          <w:rFonts w:hint="eastAsia"/>
          <w:sz w:val="20"/>
          <w:szCs w:val="20"/>
        </w:rPr>
        <w:t xml:space="preserve">No new RS </w:t>
      </w:r>
      <w:r w:rsidRPr="00F31793">
        <w:rPr>
          <w:sz w:val="20"/>
          <w:szCs w:val="20"/>
        </w:rPr>
        <w:t xml:space="preserve">for beam management </w:t>
      </w:r>
      <w:r w:rsidRPr="00F31793">
        <w:rPr>
          <w:rFonts w:hint="eastAsia"/>
          <w:sz w:val="20"/>
          <w:szCs w:val="20"/>
        </w:rPr>
        <w:t>is introduced in Rel-16.</w:t>
      </w:r>
    </w:p>
    <w:p w14:paraId="62A2608F" w14:textId="77777777" w:rsidR="00F31793" w:rsidRPr="00F31793" w:rsidRDefault="00F31793" w:rsidP="00F31793">
      <w:pPr>
        <w:pStyle w:val="LGTdoc"/>
        <w:numPr>
          <w:ilvl w:val="1"/>
          <w:numId w:val="26"/>
        </w:numPr>
        <w:spacing w:afterLines="0" w:line="240" w:lineRule="auto"/>
        <w:rPr>
          <w:sz w:val="20"/>
          <w:szCs w:val="20"/>
        </w:rPr>
      </w:pPr>
      <w:r w:rsidRPr="00F31793">
        <w:rPr>
          <w:sz w:val="20"/>
          <w:szCs w:val="20"/>
        </w:rPr>
        <w:t>FFS: details including IFDMA-based, DFT-based, larger subcarrier spacing based, etc, or limited to only for P-3.</w:t>
      </w:r>
    </w:p>
    <w:p w14:paraId="0A5F2B17" w14:textId="77777777" w:rsidR="00F31793" w:rsidRPr="00F31793" w:rsidRDefault="00F31793" w:rsidP="00F31793">
      <w:pPr>
        <w:pStyle w:val="LGTdoc"/>
        <w:numPr>
          <w:ilvl w:val="0"/>
          <w:numId w:val="26"/>
        </w:numPr>
        <w:spacing w:afterLines="0" w:line="240" w:lineRule="auto"/>
        <w:rPr>
          <w:sz w:val="20"/>
          <w:szCs w:val="20"/>
        </w:rPr>
      </w:pPr>
      <w:r w:rsidRPr="00F31793">
        <w:rPr>
          <w:sz w:val="20"/>
          <w:szCs w:val="20"/>
        </w:rPr>
        <w:t>Alt.2: No support of sub-time unit for beam management RS shorter than 1 OFDM symbol.</w:t>
      </w:r>
    </w:p>
    <w:p w14:paraId="0004BC5E" w14:textId="77777777" w:rsidR="00F31793" w:rsidRPr="00F31793" w:rsidRDefault="00F31793" w:rsidP="00F31793">
      <w:pPr>
        <w:rPr>
          <w:sz w:val="20"/>
          <w:lang w:eastAsia="x-none"/>
        </w:rPr>
      </w:pPr>
    </w:p>
    <w:p w14:paraId="50BB1FAA" w14:textId="77777777" w:rsidR="00F31793" w:rsidRPr="00F31793" w:rsidRDefault="00F31793" w:rsidP="00F31793">
      <w:pPr>
        <w:jc w:val="both"/>
        <w:rPr>
          <w:sz w:val="20"/>
          <w:highlight w:val="green"/>
          <w:lang w:eastAsia="zh-CN"/>
        </w:rPr>
      </w:pPr>
      <w:r w:rsidRPr="00F31793">
        <w:rPr>
          <w:b/>
          <w:sz w:val="20"/>
          <w:highlight w:val="green"/>
        </w:rPr>
        <w:t>Agreement</w:t>
      </w:r>
    </w:p>
    <w:p w14:paraId="35BA9B78" w14:textId="77777777" w:rsidR="00F31793" w:rsidRPr="00F31793" w:rsidRDefault="00F31793" w:rsidP="00F31793">
      <w:pPr>
        <w:pStyle w:val="ListParagraph"/>
        <w:ind w:left="0"/>
        <w:jc w:val="both"/>
        <w:rPr>
          <w:sz w:val="20"/>
        </w:rPr>
      </w:pPr>
      <w:r w:rsidRPr="00F31793">
        <w:rPr>
          <w:sz w:val="20"/>
        </w:rPr>
        <w:t>For interference part, down-select at least one from the following alternative:</w:t>
      </w:r>
    </w:p>
    <w:p w14:paraId="52EB22B5" w14:textId="77777777" w:rsidR="00F31793" w:rsidRPr="00F31793" w:rsidRDefault="00F31793" w:rsidP="00F31793">
      <w:pPr>
        <w:pStyle w:val="ListParagraph"/>
        <w:numPr>
          <w:ilvl w:val="0"/>
          <w:numId w:val="27"/>
        </w:numPr>
        <w:spacing w:after="0"/>
        <w:jc w:val="both"/>
        <w:rPr>
          <w:sz w:val="20"/>
        </w:rPr>
      </w:pPr>
      <w:r w:rsidRPr="00F31793">
        <w:rPr>
          <w:sz w:val="20"/>
        </w:rPr>
        <w:t>Alt 1: Dedicated resource(s) for interference measurement</w:t>
      </w:r>
    </w:p>
    <w:p w14:paraId="219F6AF9" w14:textId="77777777" w:rsidR="00F31793" w:rsidRPr="00F31793" w:rsidRDefault="00F31793" w:rsidP="00F31793">
      <w:pPr>
        <w:pStyle w:val="ListParagraph"/>
        <w:numPr>
          <w:ilvl w:val="1"/>
          <w:numId w:val="27"/>
        </w:numPr>
        <w:spacing w:after="0"/>
        <w:jc w:val="both"/>
        <w:rPr>
          <w:sz w:val="20"/>
        </w:rPr>
      </w:pPr>
      <w:r w:rsidRPr="00F31793">
        <w:rPr>
          <w:sz w:val="20"/>
        </w:rPr>
        <w:t>FFS: UE assumes interference signal on the REs of the RS for signal part and REs for dedicated resource(s) for interference measurement similar to specified in 38.214</w:t>
      </w:r>
    </w:p>
    <w:p w14:paraId="7BD7978A" w14:textId="77777777" w:rsidR="00F31793" w:rsidRPr="00F31793" w:rsidRDefault="00F31793" w:rsidP="00F31793">
      <w:pPr>
        <w:pStyle w:val="ListParagraph"/>
        <w:numPr>
          <w:ilvl w:val="1"/>
          <w:numId w:val="27"/>
        </w:numPr>
        <w:spacing w:after="0"/>
        <w:jc w:val="both"/>
        <w:rPr>
          <w:sz w:val="20"/>
        </w:rPr>
      </w:pPr>
      <w:r w:rsidRPr="00F31793">
        <w:rPr>
          <w:sz w:val="20"/>
        </w:rPr>
        <w:t>FFS: whether resource(s) for interference measurement can be NZP based or ZP based or both</w:t>
      </w:r>
    </w:p>
    <w:p w14:paraId="18DD751B" w14:textId="77777777" w:rsidR="00F31793" w:rsidRPr="00F31793" w:rsidRDefault="00F31793" w:rsidP="00F31793">
      <w:pPr>
        <w:pStyle w:val="ListParagraph"/>
        <w:numPr>
          <w:ilvl w:val="1"/>
          <w:numId w:val="27"/>
        </w:numPr>
        <w:spacing w:after="0"/>
        <w:jc w:val="both"/>
        <w:rPr>
          <w:sz w:val="20"/>
        </w:rPr>
      </w:pPr>
      <w:r w:rsidRPr="00F31793">
        <w:rPr>
          <w:sz w:val="20"/>
        </w:rPr>
        <w:t>FFS: whether/how to reuse NZP CSI-RS resource(s) configured for channel measurement as resource(s) for interference measurement</w:t>
      </w:r>
    </w:p>
    <w:p w14:paraId="02E25CE9" w14:textId="77777777" w:rsidR="00F31793" w:rsidRPr="00F31793" w:rsidRDefault="00F31793" w:rsidP="00F31793">
      <w:pPr>
        <w:pStyle w:val="ListParagraph"/>
        <w:numPr>
          <w:ilvl w:val="0"/>
          <w:numId w:val="27"/>
        </w:numPr>
        <w:spacing w:after="0"/>
        <w:jc w:val="both"/>
        <w:rPr>
          <w:sz w:val="20"/>
        </w:rPr>
      </w:pPr>
      <w:r w:rsidRPr="00F31793">
        <w:rPr>
          <w:sz w:val="20"/>
        </w:rPr>
        <w:t>Alt 2: The same reference signal as signal part as specified in 38.215</w:t>
      </w:r>
    </w:p>
    <w:p w14:paraId="411310CA" w14:textId="77777777" w:rsidR="00F31793" w:rsidRPr="00F31793" w:rsidRDefault="00F31793" w:rsidP="00F31793">
      <w:pPr>
        <w:pStyle w:val="ListParagraph"/>
        <w:numPr>
          <w:ilvl w:val="0"/>
          <w:numId w:val="27"/>
        </w:numPr>
        <w:spacing w:after="0"/>
        <w:jc w:val="both"/>
        <w:rPr>
          <w:sz w:val="20"/>
        </w:rPr>
      </w:pPr>
      <w:r w:rsidRPr="00F31793">
        <w:rPr>
          <w:sz w:val="20"/>
        </w:rPr>
        <w:lastRenderedPageBreak/>
        <w:t>Alt 3: Alt1 when SSB is used for signal part, Alt2 when CSI-RS is used for signal part</w:t>
      </w:r>
    </w:p>
    <w:p w14:paraId="1377ED6E" w14:textId="77777777" w:rsidR="00F31793" w:rsidRPr="00F31793" w:rsidRDefault="00F31793" w:rsidP="00F31793">
      <w:pPr>
        <w:pStyle w:val="ListParagraph"/>
        <w:numPr>
          <w:ilvl w:val="0"/>
          <w:numId w:val="27"/>
        </w:numPr>
        <w:spacing w:after="0"/>
        <w:jc w:val="both"/>
        <w:rPr>
          <w:sz w:val="20"/>
        </w:rPr>
      </w:pPr>
      <w:r w:rsidRPr="00F31793">
        <w:rPr>
          <w:sz w:val="20"/>
        </w:rPr>
        <w:t>Companies are encouraged to provide simulation results for down-selection</w:t>
      </w:r>
    </w:p>
    <w:p w14:paraId="7ADC497B" w14:textId="77777777" w:rsidR="00F31793" w:rsidRDefault="00F31793" w:rsidP="003A57DD">
      <w:pPr>
        <w:spacing w:before="100" w:beforeAutospacing="1" w:after="100" w:afterAutospacing="1"/>
        <w:jc w:val="both"/>
      </w:pPr>
    </w:p>
    <w:p w14:paraId="6FFC008C" w14:textId="77777777" w:rsidR="003807CD" w:rsidRPr="0025215B" w:rsidRDefault="003807CD" w:rsidP="003A57DD">
      <w:pPr>
        <w:spacing w:before="100" w:beforeAutospacing="1" w:after="100" w:afterAutospacing="1"/>
        <w:jc w:val="both"/>
      </w:pPr>
      <w:r>
        <w:t>In this contribution,</w:t>
      </w:r>
      <w:r w:rsidR="00651F1C">
        <w:t xml:space="preserve"> we discuss potential enhancements, with considerations on multi-panel/multi-TRP scenario.</w:t>
      </w:r>
      <w:r w:rsidR="00A96C01">
        <w:t xml:space="preserve"> In particular,</w:t>
      </w:r>
      <w:r w:rsidR="00427771">
        <w:t xml:space="preserve"> QCL indication,</w:t>
      </w:r>
      <w:r w:rsidR="00A96C01">
        <w:t xml:space="preserve"> group-based reporting, spatial relation information indication, </w:t>
      </w:r>
      <w:r w:rsidR="00434981">
        <w:t xml:space="preserve">L1-SINR measurement, </w:t>
      </w:r>
      <w:r w:rsidR="00A96C01">
        <w:t xml:space="preserve">UL beam management enhancement, and BFR on SCell are </w:t>
      </w:r>
      <w:r w:rsidR="00434981">
        <w:t>discussed</w:t>
      </w:r>
      <w:r w:rsidR="00A96C01">
        <w:t>.</w:t>
      </w:r>
    </w:p>
    <w:p w14:paraId="31ADE748" w14:textId="77777777" w:rsidR="005F5067" w:rsidRDefault="00B35290" w:rsidP="00AC256A">
      <w:pPr>
        <w:pStyle w:val="Heading1"/>
        <w:numPr>
          <w:ilvl w:val="0"/>
          <w:numId w:val="1"/>
        </w:numPr>
        <w:jc w:val="both"/>
        <w:rPr>
          <w:rFonts w:eastAsia="MS Mincho" w:cs="Arial"/>
          <w:b/>
          <w:sz w:val="32"/>
          <w:szCs w:val="32"/>
          <w:lang w:val="en-US"/>
        </w:rPr>
      </w:pPr>
      <w:r>
        <w:rPr>
          <w:rFonts w:eastAsia="MS Mincho" w:cs="Arial"/>
          <w:b/>
          <w:sz w:val="32"/>
          <w:szCs w:val="32"/>
          <w:lang w:val="en-US"/>
        </w:rPr>
        <w:t xml:space="preserve"> </w:t>
      </w:r>
      <w:r w:rsidR="00EB0778">
        <w:rPr>
          <w:rFonts w:eastAsia="MS Mincho" w:cs="Arial"/>
          <w:b/>
          <w:sz w:val="32"/>
          <w:szCs w:val="32"/>
          <w:lang w:val="en-US"/>
        </w:rPr>
        <w:t xml:space="preserve">Enhancements </w:t>
      </w:r>
      <w:r w:rsidR="003B51B7">
        <w:rPr>
          <w:rFonts w:eastAsia="MS Mincho" w:cs="Arial"/>
          <w:b/>
          <w:sz w:val="32"/>
          <w:szCs w:val="32"/>
          <w:lang w:val="en-US"/>
        </w:rPr>
        <w:t>on beam measurement and reporting</w:t>
      </w:r>
    </w:p>
    <w:p w14:paraId="778E88B3" w14:textId="77777777" w:rsidR="00B03102" w:rsidRDefault="00B03102" w:rsidP="003B51B7">
      <w:r>
        <w:t xml:space="preserve">While the scope of multi-beam enhancements has been defined in </w:t>
      </w:r>
      <w:r>
        <w:fldChar w:fldCharType="begin"/>
      </w:r>
      <w:r>
        <w:instrText xml:space="preserve"> REF _Ref525757557 \n \h </w:instrText>
      </w:r>
      <w:r>
        <w:fldChar w:fldCharType="separate"/>
      </w:r>
      <w:r w:rsidR="004548FB">
        <w:t>[2]</w:t>
      </w:r>
      <w:r>
        <w:fldChar w:fldCharType="end"/>
      </w:r>
      <w:r>
        <w:t xml:space="preserve">, it is noted that enhancements on multi-TRP/panel transmission which is pasted below, will also produce needs on multi-beam operation. </w:t>
      </w:r>
    </w:p>
    <w:p w14:paraId="321F292C" w14:textId="77777777" w:rsidR="00B03102" w:rsidRPr="00401C76" w:rsidRDefault="00B03102" w:rsidP="00B03102">
      <w:pPr>
        <w:numPr>
          <w:ilvl w:val="1"/>
          <w:numId w:val="14"/>
        </w:numPr>
        <w:overflowPunct w:val="0"/>
        <w:autoSpaceDE w:val="0"/>
        <w:autoSpaceDN w:val="0"/>
        <w:adjustRightInd w:val="0"/>
        <w:snapToGrid w:val="0"/>
        <w:spacing w:after="120"/>
        <w:ind w:right="-99"/>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07B576C" w14:textId="77777777" w:rsidR="00B03102" w:rsidRPr="00401C76" w:rsidRDefault="00B03102" w:rsidP="00B03102">
      <w:pPr>
        <w:numPr>
          <w:ilvl w:val="2"/>
          <w:numId w:val="14"/>
        </w:numPr>
        <w:overflowPunct w:val="0"/>
        <w:autoSpaceDE w:val="0"/>
        <w:autoSpaceDN w:val="0"/>
        <w:adjustRightInd w:val="0"/>
        <w:snapToGrid w:val="0"/>
        <w:spacing w:after="120"/>
        <w:ind w:right="-99"/>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14:paraId="46D5AD4A" w14:textId="77777777" w:rsidR="00B03102" w:rsidRPr="00B03102" w:rsidRDefault="00B03102" w:rsidP="00B03102">
      <w:pPr>
        <w:numPr>
          <w:ilvl w:val="2"/>
          <w:numId w:val="14"/>
        </w:numPr>
        <w:overflowPunct w:val="0"/>
        <w:autoSpaceDE w:val="0"/>
        <w:autoSpaceDN w:val="0"/>
        <w:adjustRightInd w:val="0"/>
        <w:snapToGrid w:val="0"/>
        <w:spacing w:after="120"/>
        <w:ind w:right="-99"/>
        <w:rPr>
          <w:rFonts w:eastAsia="SimSun"/>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0E65CED2" w14:textId="77777777" w:rsidR="00B03102" w:rsidRPr="00401C76" w:rsidRDefault="00B03102" w:rsidP="00B03102">
      <w:pPr>
        <w:numPr>
          <w:ilvl w:val="2"/>
          <w:numId w:val="14"/>
        </w:numPr>
        <w:overflowPunct w:val="0"/>
        <w:autoSpaceDE w:val="0"/>
        <w:autoSpaceDN w:val="0"/>
        <w:adjustRightInd w:val="0"/>
        <w:snapToGrid w:val="0"/>
        <w:spacing w:after="120"/>
        <w:ind w:right="-99"/>
        <w:rPr>
          <w:lang w:eastAsia="ko-KR"/>
        </w:rPr>
      </w:pPr>
      <w:r>
        <w:rPr>
          <w:rFonts w:eastAsia="Malgun Gothic" w:hint="eastAsia"/>
          <w:lang w:eastAsia="ko-KR"/>
        </w:rPr>
        <w:t>M</w:t>
      </w:r>
      <w:r w:rsidRPr="00DC35CD">
        <w:rPr>
          <w:rFonts w:eastAsia="Malgun Gothic" w:hint="eastAsia"/>
          <w:lang w:eastAsia="ko-KR"/>
        </w:rPr>
        <w:t xml:space="preserve">ulti-TRP techniques for URLLC requirements </w:t>
      </w:r>
      <w:r>
        <w:rPr>
          <w:rFonts w:eastAsia="Malgun Gothic" w:hint="eastAsia"/>
          <w:lang w:eastAsia="ko-KR"/>
        </w:rPr>
        <w:t>are included in this WI</w:t>
      </w:r>
    </w:p>
    <w:p w14:paraId="72BC0715" w14:textId="77777777" w:rsidR="00B03102" w:rsidRDefault="00B03102" w:rsidP="00F31793">
      <w:r>
        <w:t>In this section, related issues</w:t>
      </w:r>
      <w:r w:rsidR="00F6548D">
        <w:t xml:space="preserve"> which include</w:t>
      </w:r>
      <w:r w:rsidR="00427771">
        <w:t xml:space="preserve"> QCL indication,</w:t>
      </w:r>
      <w:r>
        <w:t xml:space="preserve"> spatial relation information indication, group-based reporting, </w:t>
      </w:r>
      <w:r w:rsidR="00434981">
        <w:t xml:space="preserve">L1-SINR/L1-RSRQ measurement, </w:t>
      </w:r>
      <w:r>
        <w:t xml:space="preserve">and </w:t>
      </w:r>
      <w:r w:rsidR="00F6548D">
        <w:t>UL beam management enhancements are discussed.</w:t>
      </w:r>
    </w:p>
    <w:p w14:paraId="734EBDF2" w14:textId="16E686DF" w:rsidR="005E7A03" w:rsidRPr="005E7A03" w:rsidRDefault="00E1792D" w:rsidP="005E7A03">
      <w:pPr>
        <w:pStyle w:val="Heading2"/>
        <w:numPr>
          <w:ilvl w:val="1"/>
          <w:numId w:val="1"/>
        </w:numPr>
      </w:pPr>
      <w:r w:rsidRPr="005E7A03">
        <w:t>Panel-specific identifier</w:t>
      </w:r>
      <w:r w:rsidRPr="00A96C01" w:rsidDel="005E7A03">
        <w:t xml:space="preserve"> </w:t>
      </w:r>
      <w:r>
        <w:t xml:space="preserve">for </w:t>
      </w:r>
      <w:r w:rsidR="005E7A03">
        <w:t>UL multi-panel selection</w:t>
      </w:r>
      <w:r w:rsidR="002C42DC">
        <w:t>/transmission</w:t>
      </w:r>
    </w:p>
    <w:p w14:paraId="5179B72E" w14:textId="33F9CB62" w:rsidR="005E7A03" w:rsidRDefault="00E92C2B" w:rsidP="00A96C01">
      <w:pPr>
        <w:rPr>
          <w:lang w:val="en-GB"/>
        </w:rPr>
      </w:pPr>
      <w:r>
        <w:rPr>
          <w:lang w:val="en-GB"/>
        </w:rPr>
        <w:t>Under multi-panel/multi-TRP scenario, UL counterpart on spatial relation information indication needs to be addressed similar to DL QCL indication.</w:t>
      </w:r>
      <w:r w:rsidR="00072748">
        <w:rPr>
          <w:lang w:val="en-GB"/>
        </w:rPr>
        <w:t xml:space="preserve"> To enable multi-panel UE transmission</w:t>
      </w:r>
      <w:r w:rsidR="005E7A03">
        <w:rPr>
          <w:lang w:val="en-GB"/>
        </w:rPr>
        <w:t>/selection</w:t>
      </w:r>
      <w:r w:rsidR="00072748">
        <w:rPr>
          <w:lang w:val="en-GB"/>
        </w:rPr>
        <w:t>, UE panels to some extent needs to be made visible to NW.</w:t>
      </w:r>
      <w:r>
        <w:rPr>
          <w:lang w:val="en-GB"/>
        </w:rPr>
        <w:t xml:space="preserve"> </w:t>
      </w:r>
      <w:r w:rsidR="005E7A03">
        <w:rPr>
          <w:lang w:val="en-GB"/>
        </w:rPr>
        <w:t>Four alternatives are discussed in RAN1 meeting</w:t>
      </w:r>
      <w:r w:rsidR="005F542B">
        <w:rPr>
          <w:lang w:val="en-GB"/>
        </w:rPr>
        <w:t>:</w:t>
      </w:r>
    </w:p>
    <w:p w14:paraId="194C7CBD" w14:textId="77777777" w:rsidR="005E7A03" w:rsidRPr="00922A52" w:rsidRDefault="005E7A03" w:rsidP="005E7A03">
      <w:pPr>
        <w:pStyle w:val="ListParagraph"/>
        <w:numPr>
          <w:ilvl w:val="0"/>
          <w:numId w:val="32"/>
        </w:numPr>
        <w:spacing w:after="0"/>
        <w:contextualSpacing/>
        <w:jc w:val="both"/>
        <w:rPr>
          <w:rFonts w:eastAsia="SimSun"/>
        </w:rPr>
      </w:pPr>
      <w:r w:rsidRPr="00922A52">
        <w:rPr>
          <w:rFonts w:eastAsia="SimSun"/>
        </w:rPr>
        <w:t>Alt.1: an SRS resource set ID, where FFS on further association to other RS (if needed)</w:t>
      </w:r>
    </w:p>
    <w:p w14:paraId="265A2758" w14:textId="77777777" w:rsidR="005E7A03" w:rsidRPr="00922A52" w:rsidRDefault="005E7A03" w:rsidP="005E7A03">
      <w:pPr>
        <w:pStyle w:val="ListParagraph"/>
        <w:numPr>
          <w:ilvl w:val="0"/>
          <w:numId w:val="32"/>
        </w:numPr>
        <w:spacing w:after="0"/>
        <w:contextualSpacing/>
        <w:jc w:val="both"/>
        <w:rPr>
          <w:rFonts w:eastAsia="SimSun"/>
        </w:rPr>
      </w:pPr>
      <w:r w:rsidRPr="00922A52">
        <w:rPr>
          <w:rFonts w:eastAsia="SimSun"/>
        </w:rPr>
        <w:t xml:space="preserve">Alt.2: an ID, which is directly associated to a reference RS resource and/or resource set </w:t>
      </w:r>
    </w:p>
    <w:p w14:paraId="6BA415C9" w14:textId="77777777" w:rsidR="005E7A03" w:rsidRPr="00922A52" w:rsidRDefault="005E7A03" w:rsidP="005E7A03">
      <w:pPr>
        <w:pStyle w:val="ListParagraph"/>
        <w:numPr>
          <w:ilvl w:val="0"/>
          <w:numId w:val="32"/>
        </w:numPr>
        <w:spacing w:after="0"/>
        <w:contextualSpacing/>
        <w:jc w:val="both"/>
        <w:rPr>
          <w:rFonts w:eastAsia="SimSun"/>
        </w:rPr>
      </w:pPr>
      <w:r w:rsidRPr="00922A52">
        <w:rPr>
          <w:rFonts w:eastAsia="SimSun"/>
        </w:rPr>
        <w:t>Alt.3: an ID, which can be assigned for a target RS resource or resource set</w:t>
      </w:r>
    </w:p>
    <w:p w14:paraId="10E4B06A" w14:textId="77777777" w:rsidR="005E7A03" w:rsidRPr="00922A52" w:rsidRDefault="005E7A03" w:rsidP="005E7A03">
      <w:pPr>
        <w:pStyle w:val="ListParagraph"/>
        <w:numPr>
          <w:ilvl w:val="0"/>
          <w:numId w:val="32"/>
        </w:numPr>
        <w:spacing w:after="0"/>
        <w:contextualSpacing/>
        <w:jc w:val="both"/>
        <w:rPr>
          <w:rFonts w:eastAsia="SimSun"/>
        </w:rPr>
      </w:pPr>
      <w:r w:rsidRPr="00922A52">
        <w:rPr>
          <w:rFonts w:eastAsia="SimSun"/>
        </w:rPr>
        <w:t>Alt.4: an ID which is additionally configured in spatial relation info</w:t>
      </w:r>
    </w:p>
    <w:p w14:paraId="3D13C90F" w14:textId="77777777" w:rsidR="005E7A03" w:rsidRDefault="005E7A03" w:rsidP="00A96C01"/>
    <w:p w14:paraId="305097AB" w14:textId="1CB341C8" w:rsidR="005E7A03" w:rsidRDefault="005E7A03" w:rsidP="00A96C01">
      <w:r>
        <w:t>To our understanding, the identifier (ID)</w:t>
      </w:r>
      <w:r w:rsidR="007C2918">
        <w:t xml:space="preserve"> at least serves for following functions </w:t>
      </w:r>
    </w:p>
    <w:p w14:paraId="73F91A02" w14:textId="5BE7B559" w:rsidR="007C2918" w:rsidRDefault="007C2918" w:rsidP="007F3E0D">
      <w:pPr>
        <w:pStyle w:val="ListParagraph"/>
        <w:numPr>
          <w:ilvl w:val="0"/>
          <w:numId w:val="37"/>
        </w:numPr>
        <w:spacing w:after="0"/>
      </w:pPr>
      <w:r>
        <w:t>Indication of UE’s panel</w:t>
      </w:r>
      <w:r w:rsidR="00A02F86">
        <w:t>:</w:t>
      </w:r>
      <w:r>
        <w:t xml:space="preserve"> gNB could specify which UE panel(s) to transmit. UE can also, </w:t>
      </w:r>
      <w:r w:rsidR="00663A2E">
        <w:t xml:space="preserve">e.g., </w:t>
      </w:r>
      <w:r>
        <w:t>via UE’s capability, notify it</w:t>
      </w:r>
      <w:r w:rsidR="005F542B">
        <w:t>s</w:t>
      </w:r>
      <w:r>
        <w:t xml:space="preserve"> antenna configuration to some extent.</w:t>
      </w:r>
    </w:p>
    <w:p w14:paraId="53185C6F" w14:textId="5DE8371A" w:rsidR="007C2918" w:rsidRPr="007F3E0D" w:rsidRDefault="008A5CEE" w:rsidP="007F3E0D">
      <w:pPr>
        <w:pStyle w:val="ListParagraph"/>
        <w:numPr>
          <w:ilvl w:val="0"/>
          <w:numId w:val="37"/>
        </w:numPr>
      </w:pPr>
      <w:r>
        <w:t xml:space="preserve">Per panel </w:t>
      </w:r>
      <w:r w:rsidR="00C02444">
        <w:t>power</w:t>
      </w:r>
      <w:r>
        <w:t xml:space="preserve"> control, and possibly</w:t>
      </w:r>
      <w:r w:rsidR="00A62B59">
        <w:t xml:space="preserve"> </w:t>
      </w:r>
      <w:r w:rsidR="00DE6138">
        <w:t xml:space="preserve">per panel </w:t>
      </w:r>
      <w:r w:rsidR="00A62B59">
        <w:t>UL</w:t>
      </w:r>
      <w:r>
        <w:t xml:space="preserve"> timing control.</w:t>
      </w:r>
    </w:p>
    <w:p w14:paraId="28A5590B" w14:textId="79A7C95A" w:rsidR="003817F3" w:rsidRDefault="00AC5B2C" w:rsidP="00A96C01">
      <w:pPr>
        <w:rPr>
          <w:lang w:val="en-GB"/>
        </w:rPr>
      </w:pPr>
      <w:r>
        <w:rPr>
          <w:lang w:val="en-GB"/>
        </w:rPr>
        <w:t xml:space="preserve">Also, a good candidate of ID should also make the best use of Rel-15 framework, </w:t>
      </w:r>
      <w:r w:rsidR="00293D4A">
        <w:rPr>
          <w:lang w:val="en-GB"/>
        </w:rPr>
        <w:t xml:space="preserve">and </w:t>
      </w:r>
      <w:r w:rsidR="00E76D46">
        <w:rPr>
          <w:lang w:val="en-GB"/>
        </w:rPr>
        <w:t xml:space="preserve">it can be applied to </w:t>
      </w:r>
      <w:r w:rsidR="00DE58E6">
        <w:rPr>
          <w:lang w:val="en-GB"/>
        </w:rPr>
        <w:t>SRS for beam management/codebook/noncodebook</w:t>
      </w:r>
      <w:r w:rsidR="006C172E">
        <w:rPr>
          <w:lang w:val="en-GB"/>
        </w:rPr>
        <w:t xml:space="preserve"> with least change</w:t>
      </w:r>
      <w:r w:rsidR="00DE58E6">
        <w:rPr>
          <w:lang w:val="en-GB"/>
        </w:rPr>
        <w:t xml:space="preserve">. </w:t>
      </w:r>
      <w:r w:rsidR="0090310C">
        <w:rPr>
          <w:lang w:val="en-GB"/>
        </w:rPr>
        <w:t xml:space="preserve">From such a consideration, Alt.1 </w:t>
      </w:r>
      <w:r w:rsidR="00916DA0">
        <w:rPr>
          <w:lang w:val="en-GB"/>
        </w:rPr>
        <w:t xml:space="preserve">is preferred </w:t>
      </w:r>
      <w:r w:rsidR="001F04BE">
        <w:rPr>
          <w:lang w:val="en-GB"/>
        </w:rPr>
        <w:t xml:space="preserve">in the sense that </w:t>
      </w:r>
      <w:r w:rsidR="00C9049A">
        <w:rPr>
          <w:lang w:val="en-GB"/>
        </w:rPr>
        <w:t>each SRS resource set is equivalent to one ‘panel’.</w:t>
      </w:r>
      <w:r w:rsidR="00870E63">
        <w:rPr>
          <w:lang w:val="en-GB"/>
        </w:rPr>
        <w:t xml:space="preserve"> </w:t>
      </w:r>
      <w:r w:rsidR="00870E63">
        <w:rPr>
          <w:szCs w:val="22"/>
        </w:rPr>
        <w:t xml:space="preserve">Power control parameters such as </w:t>
      </w:r>
      <w:r w:rsidR="00870E63" w:rsidRPr="004D0366">
        <w:rPr>
          <w:i/>
          <w:szCs w:val="22"/>
        </w:rPr>
        <w:t>P</w:t>
      </w:r>
      <w:r w:rsidR="00870E63" w:rsidRPr="004D0366">
        <w:rPr>
          <w:i/>
          <w:szCs w:val="22"/>
          <w:vertAlign w:val="subscript"/>
        </w:rPr>
        <w:t>O</w:t>
      </w:r>
      <w:r w:rsidR="00870E63">
        <w:rPr>
          <w:szCs w:val="22"/>
        </w:rPr>
        <w:t xml:space="preserve">, </w:t>
      </w:r>
      <w:r w:rsidR="00870E63" w:rsidRPr="007F3E0D">
        <w:rPr>
          <w:szCs w:val="22"/>
        </w:rPr>
        <w:t>alpha</w:t>
      </w:r>
      <w:r w:rsidR="00870E63" w:rsidRPr="003817F3">
        <w:rPr>
          <w:szCs w:val="22"/>
        </w:rPr>
        <w:t xml:space="preserve">, </w:t>
      </w:r>
      <w:r w:rsidR="00870E63" w:rsidRPr="007F3E0D">
        <w:rPr>
          <w:szCs w:val="22"/>
        </w:rPr>
        <w:t>pathloss reference RS</w:t>
      </w:r>
      <w:r w:rsidR="00870E63" w:rsidRPr="003817F3">
        <w:rPr>
          <w:szCs w:val="22"/>
        </w:rPr>
        <w:t xml:space="preserve"> are </w:t>
      </w:r>
      <w:r w:rsidR="00870E63">
        <w:rPr>
          <w:szCs w:val="22"/>
        </w:rPr>
        <w:t>configurable in each SRS resource set</w:t>
      </w:r>
      <w:r w:rsidR="00870E63">
        <w:rPr>
          <w:lang w:val="en-GB"/>
        </w:rPr>
        <w:t xml:space="preserve">. </w:t>
      </w:r>
    </w:p>
    <w:p w14:paraId="3B151C91" w14:textId="36B20F3C" w:rsidR="005E7A03" w:rsidRDefault="004F0477" w:rsidP="00A96C01">
      <w:pPr>
        <w:rPr>
          <w:szCs w:val="22"/>
        </w:rPr>
      </w:pPr>
      <w:r>
        <w:rPr>
          <w:lang w:val="en-GB"/>
        </w:rPr>
        <w:t>For beam management, it is the same use as</w:t>
      </w:r>
      <w:r w:rsidR="003817F3">
        <w:rPr>
          <w:lang w:val="en-GB"/>
        </w:rPr>
        <w:t xml:space="preserve"> in</w:t>
      </w:r>
      <w:r>
        <w:rPr>
          <w:lang w:val="en-GB"/>
        </w:rPr>
        <w:t xml:space="preserve"> Rel-15 and from </w:t>
      </w:r>
      <w:r>
        <w:rPr>
          <w:szCs w:val="22"/>
        </w:rPr>
        <w:t>clarification table on FG 2-30 agreed in RAN1#95 meeting, UE can support up to 4 SRS resource sets (</w:t>
      </w:r>
      <w:r w:rsidR="003817F3">
        <w:rPr>
          <w:szCs w:val="22"/>
        </w:rPr>
        <w:t>i.e.,</w:t>
      </w:r>
      <w:r>
        <w:rPr>
          <w:szCs w:val="22"/>
        </w:rPr>
        <w:t xml:space="preserve"> up to 4 panels)</w:t>
      </w:r>
      <w:r w:rsidR="00462B0E">
        <w:rPr>
          <w:szCs w:val="22"/>
        </w:rPr>
        <w:t xml:space="preserve"> per </w:t>
      </w:r>
      <w:r w:rsidR="00462B0E" w:rsidRPr="00480E0A">
        <w:rPr>
          <w:rFonts w:ascii="Times" w:hAnsi="Times"/>
          <w:lang w:val="en-GB"/>
        </w:rPr>
        <w:t>time domain behaviour</w:t>
      </w:r>
      <w:r>
        <w:rPr>
          <w:szCs w:val="22"/>
        </w:rPr>
        <w:t xml:space="preserve">. </w:t>
      </w:r>
    </w:p>
    <w:p w14:paraId="5519C2F9" w14:textId="77777777" w:rsidR="004E51B0" w:rsidRDefault="000B6236">
      <w:pPr>
        <w:rPr>
          <w:szCs w:val="22"/>
        </w:rPr>
      </w:pPr>
      <w:r>
        <w:rPr>
          <w:szCs w:val="22"/>
        </w:rPr>
        <w:t>For</w:t>
      </w:r>
      <w:r w:rsidR="006F4844">
        <w:rPr>
          <w:szCs w:val="22"/>
        </w:rPr>
        <w:t xml:space="preserve"> </w:t>
      </w:r>
      <w:r w:rsidR="0026235A">
        <w:rPr>
          <w:szCs w:val="22"/>
        </w:rPr>
        <w:t xml:space="preserve">SRS </w:t>
      </w:r>
      <w:r>
        <w:rPr>
          <w:szCs w:val="22"/>
        </w:rPr>
        <w:t>used</w:t>
      </w:r>
      <w:r w:rsidR="00120CBA">
        <w:rPr>
          <w:szCs w:val="22"/>
        </w:rPr>
        <w:t xml:space="preserve"> </w:t>
      </w:r>
      <w:r>
        <w:rPr>
          <w:szCs w:val="22"/>
        </w:rPr>
        <w:t xml:space="preserve">in </w:t>
      </w:r>
      <w:r w:rsidR="00585EEA">
        <w:rPr>
          <w:lang w:val="en-GB"/>
        </w:rPr>
        <w:t>codebook</w:t>
      </w:r>
      <w:r>
        <w:rPr>
          <w:lang w:val="en-GB"/>
        </w:rPr>
        <w:t xml:space="preserve"> based transmission</w:t>
      </w:r>
      <w:r w:rsidR="0026235A">
        <w:rPr>
          <w:szCs w:val="22"/>
        </w:rPr>
        <w:t>, in order to support</w:t>
      </w:r>
      <w:r w:rsidR="006F5A4B">
        <w:rPr>
          <w:szCs w:val="22"/>
        </w:rPr>
        <w:t xml:space="preserve"> </w:t>
      </w:r>
      <w:r w:rsidR="006B3488">
        <w:rPr>
          <w:szCs w:val="22"/>
        </w:rPr>
        <w:t xml:space="preserve">panel </w:t>
      </w:r>
      <w:r w:rsidR="006F5A4B">
        <w:rPr>
          <w:szCs w:val="22"/>
        </w:rPr>
        <w:t>selection</w:t>
      </w:r>
      <w:r w:rsidR="0026235A">
        <w:rPr>
          <w:szCs w:val="22"/>
        </w:rPr>
        <w:t xml:space="preserve"> </w:t>
      </w:r>
      <w:r w:rsidR="004E51B0">
        <w:rPr>
          <w:szCs w:val="22"/>
        </w:rPr>
        <w:t>or multi-panel transmission (</w:t>
      </w:r>
      <w:r w:rsidR="004E51B0" w:rsidRPr="00812454">
        <w:rPr>
          <w:szCs w:val="22"/>
        </w:rPr>
        <w:t>STxMP</w:t>
      </w:r>
      <w:r w:rsidR="004E51B0">
        <w:rPr>
          <w:szCs w:val="22"/>
        </w:rPr>
        <w:t xml:space="preserve">) </w:t>
      </w:r>
      <w:r w:rsidR="0026235A">
        <w:rPr>
          <w:szCs w:val="22"/>
        </w:rPr>
        <w:t>using Rel-15 framework</w:t>
      </w:r>
      <w:r w:rsidR="006F5A4B">
        <w:rPr>
          <w:szCs w:val="22"/>
        </w:rPr>
        <w:t>,</w:t>
      </w:r>
      <w:r w:rsidR="0026235A">
        <w:rPr>
          <w:szCs w:val="22"/>
        </w:rPr>
        <w:t xml:space="preserve"> it need</w:t>
      </w:r>
      <w:r w:rsidR="00120CBA">
        <w:rPr>
          <w:szCs w:val="22"/>
        </w:rPr>
        <w:t>s</w:t>
      </w:r>
      <w:r w:rsidR="0026235A">
        <w:rPr>
          <w:szCs w:val="22"/>
        </w:rPr>
        <w:t xml:space="preserve"> to configure via different spatial relation information, which is associated with each SRS resource. </w:t>
      </w:r>
      <w:r w:rsidR="00120CBA">
        <w:rPr>
          <w:szCs w:val="22"/>
        </w:rPr>
        <w:t>T</w:t>
      </w:r>
      <w:r w:rsidR="0026235A">
        <w:rPr>
          <w:szCs w:val="22"/>
        </w:rPr>
        <w:t xml:space="preserve">here are </w:t>
      </w:r>
      <w:r w:rsidR="00E95071">
        <w:rPr>
          <w:szCs w:val="22"/>
        </w:rPr>
        <w:t xml:space="preserve">up to </w:t>
      </w:r>
      <w:r w:rsidR="0026235A">
        <w:rPr>
          <w:szCs w:val="22"/>
        </w:rPr>
        <w:t>two</w:t>
      </w:r>
      <w:r w:rsidR="00E95071">
        <w:rPr>
          <w:szCs w:val="22"/>
        </w:rPr>
        <w:t xml:space="preserve"> spatial relation information can </w:t>
      </w:r>
      <w:r w:rsidR="00E95071">
        <w:rPr>
          <w:szCs w:val="22"/>
        </w:rPr>
        <w:lastRenderedPageBreak/>
        <w:t>be configured, and only one is selected for PUSCH transmission</w:t>
      </w:r>
      <w:r w:rsidR="00824915">
        <w:rPr>
          <w:szCs w:val="22"/>
        </w:rPr>
        <w:t xml:space="preserve"> as illustrated in </w:t>
      </w:r>
      <w:r w:rsidR="00824915">
        <w:rPr>
          <w:szCs w:val="22"/>
        </w:rPr>
        <w:fldChar w:fldCharType="begin"/>
      </w:r>
      <w:r w:rsidR="00824915">
        <w:rPr>
          <w:szCs w:val="22"/>
        </w:rPr>
        <w:instrText xml:space="preserve"> REF _Ref1135612 \h </w:instrText>
      </w:r>
      <w:r w:rsidR="00824915">
        <w:rPr>
          <w:szCs w:val="22"/>
        </w:rPr>
      </w:r>
      <w:r w:rsidR="00824915">
        <w:rPr>
          <w:szCs w:val="22"/>
        </w:rPr>
        <w:fldChar w:fldCharType="separate"/>
      </w:r>
      <w:r w:rsidR="004548FB">
        <w:t xml:space="preserve">Figure </w:t>
      </w:r>
      <w:r w:rsidR="004548FB">
        <w:rPr>
          <w:noProof/>
        </w:rPr>
        <w:t>1</w:t>
      </w:r>
      <w:r w:rsidR="00824915">
        <w:rPr>
          <w:szCs w:val="22"/>
        </w:rPr>
        <w:fldChar w:fldCharType="end"/>
      </w:r>
      <w:r w:rsidR="00E95071">
        <w:rPr>
          <w:szCs w:val="22"/>
        </w:rPr>
        <w:t xml:space="preserve">. </w:t>
      </w:r>
      <w:r w:rsidR="00126900">
        <w:rPr>
          <w:szCs w:val="22"/>
        </w:rPr>
        <w:t>That is said, there is</w:t>
      </w:r>
      <w:r w:rsidR="00E95071">
        <w:rPr>
          <w:szCs w:val="22"/>
        </w:rPr>
        <w:t xml:space="preserve"> no capability for </w:t>
      </w:r>
      <w:r w:rsidR="00E95071" w:rsidRPr="00812454">
        <w:rPr>
          <w:szCs w:val="22"/>
        </w:rPr>
        <w:t>STxMP</w:t>
      </w:r>
      <w:r w:rsidR="00E95071">
        <w:rPr>
          <w:szCs w:val="22"/>
        </w:rPr>
        <w:t xml:space="preserve">. </w:t>
      </w:r>
    </w:p>
    <w:p w14:paraId="010F5426" w14:textId="77777777" w:rsidR="004E51B0" w:rsidRDefault="00773751">
      <w:pPr>
        <w:rPr>
          <w:szCs w:val="22"/>
        </w:rPr>
      </w:pPr>
      <w:r>
        <w:rPr>
          <w:szCs w:val="22"/>
        </w:rPr>
        <w:t xml:space="preserve">For SRS used </w:t>
      </w:r>
      <w:r w:rsidR="00D20B50">
        <w:rPr>
          <w:szCs w:val="22"/>
        </w:rPr>
        <w:t>in</w:t>
      </w:r>
      <w:r>
        <w:rPr>
          <w:szCs w:val="22"/>
        </w:rPr>
        <w:t xml:space="preserve"> </w:t>
      </w:r>
      <w:r w:rsidR="00A76A39">
        <w:rPr>
          <w:szCs w:val="22"/>
        </w:rPr>
        <w:t>noncodebook</w:t>
      </w:r>
      <w:r w:rsidR="00120CBA">
        <w:rPr>
          <w:szCs w:val="22"/>
        </w:rPr>
        <w:t xml:space="preserve"> </w:t>
      </w:r>
      <w:r w:rsidR="00D20B50">
        <w:rPr>
          <w:szCs w:val="22"/>
        </w:rPr>
        <w:t>transmission</w:t>
      </w:r>
      <w:r w:rsidR="00A76A39">
        <w:rPr>
          <w:szCs w:val="22"/>
        </w:rPr>
        <w:t xml:space="preserve">, </w:t>
      </w:r>
      <w:r w:rsidR="00120CBA">
        <w:rPr>
          <w:szCs w:val="22"/>
        </w:rPr>
        <w:t xml:space="preserve">it also has to </w:t>
      </w:r>
      <w:r w:rsidR="00126900">
        <w:rPr>
          <w:szCs w:val="22"/>
        </w:rPr>
        <w:t xml:space="preserve">configure via spatial relation information in SRS resource (up to 4) rather than using </w:t>
      </w:r>
      <w:r w:rsidR="00126900" w:rsidRPr="00126900">
        <w:rPr>
          <w:szCs w:val="22"/>
        </w:rPr>
        <w:t>associatedCSI-RS in SRS</w:t>
      </w:r>
      <w:r w:rsidR="00EA5E24">
        <w:rPr>
          <w:szCs w:val="22"/>
        </w:rPr>
        <w:t xml:space="preserve"> r</w:t>
      </w:r>
      <w:r w:rsidR="00126900" w:rsidRPr="00126900">
        <w:rPr>
          <w:szCs w:val="22"/>
        </w:rPr>
        <w:t>esource</w:t>
      </w:r>
      <w:r w:rsidR="00EA5E24">
        <w:rPr>
          <w:szCs w:val="22"/>
        </w:rPr>
        <w:t xml:space="preserve"> s</w:t>
      </w:r>
      <w:r w:rsidR="00126900" w:rsidRPr="00126900">
        <w:rPr>
          <w:szCs w:val="22"/>
        </w:rPr>
        <w:t>et</w:t>
      </w:r>
      <w:r w:rsidR="00584454">
        <w:rPr>
          <w:szCs w:val="22"/>
        </w:rPr>
        <w:t xml:space="preserve"> since </w:t>
      </w:r>
      <w:r w:rsidR="00EA5E24">
        <w:rPr>
          <w:szCs w:val="22"/>
        </w:rPr>
        <w:t xml:space="preserve">only one </w:t>
      </w:r>
      <w:r w:rsidR="00EA5E24" w:rsidRPr="00126900">
        <w:rPr>
          <w:szCs w:val="22"/>
        </w:rPr>
        <w:t>SRS</w:t>
      </w:r>
      <w:r w:rsidR="00EA5E24">
        <w:rPr>
          <w:szCs w:val="22"/>
        </w:rPr>
        <w:t xml:space="preserve"> r</w:t>
      </w:r>
      <w:r w:rsidR="00EA5E24" w:rsidRPr="00126900">
        <w:rPr>
          <w:szCs w:val="22"/>
        </w:rPr>
        <w:t>esource</w:t>
      </w:r>
      <w:r w:rsidR="00EA5E24">
        <w:rPr>
          <w:szCs w:val="22"/>
        </w:rPr>
        <w:t xml:space="preserve"> s</w:t>
      </w:r>
      <w:r w:rsidR="00EA5E24" w:rsidRPr="00126900">
        <w:rPr>
          <w:szCs w:val="22"/>
        </w:rPr>
        <w:t>et</w:t>
      </w:r>
      <w:r w:rsidR="00EA5E24">
        <w:rPr>
          <w:szCs w:val="22"/>
        </w:rPr>
        <w:t xml:space="preserve"> is allowed in Rel-15</w:t>
      </w:r>
      <w:r w:rsidR="00126900">
        <w:rPr>
          <w:szCs w:val="22"/>
        </w:rPr>
        <w:t xml:space="preserve">. </w:t>
      </w:r>
    </w:p>
    <w:p w14:paraId="333F69AC" w14:textId="3F9CC7A3" w:rsidR="00423398" w:rsidRDefault="00A43216">
      <w:pPr>
        <w:rPr>
          <w:lang w:val="en-GB"/>
        </w:rPr>
      </w:pPr>
      <w:r>
        <w:rPr>
          <w:szCs w:val="22"/>
        </w:rPr>
        <w:t xml:space="preserve">A simple solution </w:t>
      </w:r>
      <w:r w:rsidR="00377B78">
        <w:rPr>
          <w:szCs w:val="22"/>
        </w:rPr>
        <w:t xml:space="preserve">to </w:t>
      </w:r>
      <w:r w:rsidR="00DA30A4">
        <w:rPr>
          <w:szCs w:val="22"/>
        </w:rPr>
        <w:t xml:space="preserve">address </w:t>
      </w:r>
      <w:r w:rsidR="00DA30A4">
        <w:rPr>
          <w:lang w:val="en-GB"/>
        </w:rPr>
        <w:t>codebook and noncodebook</w:t>
      </w:r>
      <w:r w:rsidR="00377B78">
        <w:rPr>
          <w:szCs w:val="22"/>
        </w:rPr>
        <w:t xml:space="preserve"> </w:t>
      </w:r>
      <w:r w:rsidR="00DA30A4">
        <w:rPr>
          <w:szCs w:val="22"/>
        </w:rPr>
        <w:t xml:space="preserve">transmission </w:t>
      </w:r>
      <w:r w:rsidR="00377B78">
        <w:rPr>
          <w:szCs w:val="22"/>
        </w:rPr>
        <w:t>is to</w:t>
      </w:r>
      <w:r w:rsidR="00F07D14">
        <w:rPr>
          <w:szCs w:val="22"/>
        </w:rPr>
        <w:t xml:space="preserve"> </w:t>
      </w:r>
      <w:r w:rsidR="00423398">
        <w:rPr>
          <w:szCs w:val="22"/>
        </w:rPr>
        <w:t>increas</w:t>
      </w:r>
      <w:r w:rsidR="00377B78">
        <w:rPr>
          <w:szCs w:val="22"/>
        </w:rPr>
        <w:t>e</w:t>
      </w:r>
      <w:r w:rsidR="00423398">
        <w:rPr>
          <w:szCs w:val="22"/>
        </w:rPr>
        <w:t xml:space="preserve"> </w:t>
      </w:r>
      <w:r w:rsidR="00423398">
        <w:rPr>
          <w:lang w:val="en-GB"/>
        </w:rPr>
        <w:t>the number of SRS resource sets</w:t>
      </w:r>
      <w:r w:rsidR="00423398">
        <w:rPr>
          <w:szCs w:val="22"/>
        </w:rPr>
        <w:t>. In th</w:t>
      </w:r>
      <w:r w:rsidR="00F8045F">
        <w:rPr>
          <w:szCs w:val="22"/>
        </w:rPr>
        <w:t>is</w:t>
      </w:r>
      <w:r w:rsidR="00423398">
        <w:rPr>
          <w:szCs w:val="22"/>
        </w:rPr>
        <w:t xml:space="preserve"> way, the framework can operate in a more unified way (as in beam management)</w:t>
      </w:r>
      <w:r w:rsidR="00411BD0">
        <w:rPr>
          <w:szCs w:val="22"/>
        </w:rPr>
        <w:t xml:space="preserve"> and </w:t>
      </w:r>
      <w:r w:rsidR="002A49F5">
        <w:rPr>
          <w:szCs w:val="22"/>
        </w:rPr>
        <w:t xml:space="preserve">functionalities (such as </w:t>
      </w:r>
      <w:r w:rsidR="00774F4D" w:rsidRPr="00812454">
        <w:rPr>
          <w:szCs w:val="22"/>
        </w:rPr>
        <w:t>STxMP</w:t>
      </w:r>
      <w:r w:rsidR="00774F4D">
        <w:rPr>
          <w:szCs w:val="22"/>
        </w:rPr>
        <w:t xml:space="preserve">, </w:t>
      </w:r>
      <w:r w:rsidR="002A49F5">
        <w:rPr>
          <w:szCs w:val="22"/>
        </w:rPr>
        <w:t>independent power control, panel indication) can be realized</w:t>
      </w:r>
      <w:r w:rsidR="00423398">
        <w:rPr>
          <w:szCs w:val="22"/>
        </w:rPr>
        <w:t xml:space="preserve">. </w:t>
      </w:r>
    </w:p>
    <w:p w14:paraId="35AFC5AE" w14:textId="77777777" w:rsidR="00423398" w:rsidRPr="007F3E0D" w:rsidRDefault="00423398" w:rsidP="006E627C">
      <w:pPr>
        <w:rPr>
          <w:szCs w:val="22"/>
          <w:lang w:val="en-GB"/>
        </w:rPr>
      </w:pPr>
    </w:p>
    <w:p w14:paraId="6BF4115F" w14:textId="77777777" w:rsidR="00E95071" w:rsidRDefault="00E95071" w:rsidP="007F3E0D">
      <w:pPr>
        <w:jc w:val="center"/>
        <w:rPr>
          <w:lang w:val="en-GB"/>
        </w:rPr>
      </w:pPr>
      <w:r>
        <w:rPr>
          <w:noProof/>
          <w:lang w:eastAsia="zh-TW"/>
        </w:rPr>
        <w:drawing>
          <wp:inline distT="0" distB="0" distL="0" distR="0" wp14:anchorId="1E438456" wp14:editId="1F38A46C">
            <wp:extent cx="3691890" cy="11055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91890" cy="1105535"/>
                    </a:xfrm>
                    <a:prstGeom prst="rect">
                      <a:avLst/>
                    </a:prstGeom>
                    <a:noFill/>
                  </pic:spPr>
                </pic:pic>
              </a:graphicData>
            </a:graphic>
          </wp:inline>
        </w:drawing>
      </w:r>
    </w:p>
    <w:p w14:paraId="0D4B5689" w14:textId="77777777" w:rsidR="00E95071" w:rsidRDefault="00E95071" w:rsidP="00E95071">
      <w:pPr>
        <w:pStyle w:val="Caption"/>
        <w:jc w:val="center"/>
      </w:pPr>
      <w:bookmarkStart w:id="2" w:name="_Ref1135612"/>
      <w:r>
        <w:t xml:space="preserve">Figure </w:t>
      </w:r>
      <w:r>
        <w:fldChar w:fldCharType="begin"/>
      </w:r>
      <w:r>
        <w:instrText xml:space="preserve"> SEQ Figure \* ARABIC </w:instrText>
      </w:r>
      <w:r>
        <w:fldChar w:fldCharType="separate"/>
      </w:r>
      <w:r w:rsidR="004548FB">
        <w:rPr>
          <w:noProof/>
        </w:rPr>
        <w:t>1</w:t>
      </w:r>
      <w:r>
        <w:fldChar w:fldCharType="end"/>
      </w:r>
      <w:bookmarkEnd w:id="2"/>
      <w:r>
        <w:t>. Illustration to SRI selection for codebook-based UL transmission.</w:t>
      </w:r>
    </w:p>
    <w:p w14:paraId="58C4D0DA" w14:textId="77777777" w:rsidR="00E95071" w:rsidRPr="007F3E0D" w:rsidRDefault="00E95071" w:rsidP="006E627C">
      <w:pPr>
        <w:rPr>
          <w:szCs w:val="22"/>
          <w:lang w:val="en-GB"/>
        </w:rPr>
      </w:pPr>
    </w:p>
    <w:p w14:paraId="118D11E4" w14:textId="77777777" w:rsidR="00E95071" w:rsidRDefault="00E95071" w:rsidP="006E627C">
      <w:pPr>
        <w:rPr>
          <w:szCs w:val="22"/>
        </w:rPr>
      </w:pPr>
    </w:p>
    <w:p w14:paraId="4D91497A" w14:textId="77777777" w:rsidR="00EB0778" w:rsidRDefault="00EB0778" w:rsidP="00EB0778">
      <w:pPr>
        <w:pStyle w:val="Heading2"/>
        <w:numPr>
          <w:ilvl w:val="1"/>
          <w:numId w:val="1"/>
        </w:numPr>
      </w:pPr>
      <w:r>
        <w:t>Group-based reporting</w:t>
      </w:r>
    </w:p>
    <w:p w14:paraId="59BC9FBD" w14:textId="77777777" w:rsidR="001736D7" w:rsidRDefault="001736D7" w:rsidP="00EB0778">
      <w:pPr>
        <w:rPr>
          <w:lang w:val="en-GB"/>
        </w:rPr>
      </w:pPr>
      <w:r>
        <w:rPr>
          <w:lang w:val="en-GB"/>
        </w:rPr>
        <w:t>The following agreements were made in RAN1 NRAH1701 and RAN1#88:</w:t>
      </w:r>
    </w:p>
    <w:p w14:paraId="34490E5F" w14:textId="77777777" w:rsidR="001736D7" w:rsidRPr="007F3E0D" w:rsidRDefault="001736D7" w:rsidP="001736D7">
      <w:pPr>
        <w:spacing w:after="60"/>
        <w:rPr>
          <w:rFonts w:eastAsia="MS Mincho"/>
          <w:szCs w:val="22"/>
          <w:lang w:eastAsia="ja-JP"/>
        </w:rPr>
      </w:pPr>
      <w:r w:rsidRPr="007F3E0D">
        <w:rPr>
          <w:rFonts w:eastAsia="MS Mincho"/>
          <w:szCs w:val="22"/>
          <w:highlight w:val="green"/>
          <w:lang w:eastAsia="ja-JP"/>
        </w:rPr>
        <w:t>Agreement</w:t>
      </w:r>
      <w:r w:rsidRPr="007F3E0D">
        <w:rPr>
          <w:rFonts w:eastAsia="MS Mincho"/>
          <w:szCs w:val="22"/>
          <w:lang w:eastAsia="ja-JP"/>
        </w:rPr>
        <w:t>:</w:t>
      </w:r>
    </w:p>
    <w:p w14:paraId="71B91DE3" w14:textId="77777777" w:rsidR="001736D7" w:rsidRPr="007F3E0D" w:rsidRDefault="001736D7" w:rsidP="001736D7">
      <w:pPr>
        <w:numPr>
          <w:ilvl w:val="0"/>
          <w:numId w:val="22"/>
        </w:numPr>
        <w:spacing w:after="0"/>
        <w:ind w:left="704"/>
        <w:rPr>
          <w:rFonts w:eastAsia="MS Mincho"/>
          <w:szCs w:val="22"/>
          <w:lang w:eastAsia="ja-JP"/>
        </w:rPr>
      </w:pPr>
      <w:r w:rsidRPr="007F3E0D">
        <w:rPr>
          <w:rFonts w:eastAsia="MS Mincho"/>
          <w:szCs w:val="22"/>
          <w:lang w:eastAsia="ja-JP"/>
        </w:rPr>
        <w:t>Support at least one of these two alternatives of beam reporting:</w:t>
      </w:r>
    </w:p>
    <w:p w14:paraId="65BC8353" w14:textId="77777777" w:rsidR="001736D7" w:rsidRPr="007F3E0D" w:rsidRDefault="001736D7" w:rsidP="001736D7">
      <w:pPr>
        <w:numPr>
          <w:ilvl w:val="3"/>
          <w:numId w:val="22"/>
        </w:numPr>
        <w:spacing w:after="0"/>
        <w:ind w:left="1272"/>
        <w:rPr>
          <w:rFonts w:eastAsia="MS Mincho"/>
          <w:szCs w:val="22"/>
          <w:lang w:eastAsia="ja-JP"/>
        </w:rPr>
      </w:pPr>
      <w:r w:rsidRPr="007F3E0D">
        <w:rPr>
          <w:rFonts w:eastAsia="MS Mincho"/>
          <w:szCs w:val="22"/>
          <w:lang w:eastAsia="ja-JP"/>
        </w:rPr>
        <w:t>Alt 1:</w:t>
      </w:r>
    </w:p>
    <w:p w14:paraId="0C06FCB8" w14:textId="77777777" w:rsidR="001736D7" w:rsidRPr="007F3E0D" w:rsidRDefault="001736D7" w:rsidP="001736D7">
      <w:pPr>
        <w:numPr>
          <w:ilvl w:val="2"/>
          <w:numId w:val="20"/>
        </w:numPr>
        <w:tabs>
          <w:tab w:val="clear" w:pos="2160"/>
          <w:tab w:val="num" w:pos="1752"/>
        </w:tabs>
        <w:spacing w:after="0"/>
        <w:ind w:left="1752"/>
        <w:rPr>
          <w:rFonts w:eastAsia="MS Mincho"/>
          <w:szCs w:val="22"/>
          <w:lang w:eastAsia="ja-JP"/>
        </w:rPr>
      </w:pPr>
      <w:r w:rsidRPr="007F3E0D">
        <w:rPr>
          <w:rFonts w:eastAsia="MS Mincho"/>
          <w:szCs w:val="22"/>
          <w:lang w:eastAsia="ja-JP"/>
        </w:rPr>
        <w:t>UE reports information about TRP Tx Beam(s) that can be received using selected UE Rx beam set(s) where a Rx beam set refers to a set of UE Rx beams that are used for receiving a DL signal</w:t>
      </w:r>
    </w:p>
    <w:p w14:paraId="0319D219"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For UEs with more than one UE Rx beam sets, the UE can report TRP Tx Beam(s) and an identifier of the associated UE Rx beam set per reported TX beam</w:t>
      </w:r>
    </w:p>
    <w:p w14:paraId="109DC5DA"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the same Rx beam set can be received simultaneously at the UE.</w:t>
      </w:r>
    </w:p>
    <w:p w14:paraId="0FBBFB97"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different UE Rx beam set may not be possible to be received simultaneously at the UE</w:t>
      </w:r>
    </w:p>
    <w:p w14:paraId="39AF8D99" w14:textId="77777777" w:rsidR="001736D7" w:rsidRPr="007F3E0D" w:rsidRDefault="001736D7" w:rsidP="001736D7">
      <w:pPr>
        <w:numPr>
          <w:ilvl w:val="3"/>
          <w:numId w:val="22"/>
        </w:numPr>
        <w:spacing w:after="0"/>
        <w:ind w:left="1272"/>
        <w:rPr>
          <w:rFonts w:eastAsia="MS Mincho"/>
          <w:szCs w:val="22"/>
          <w:lang w:eastAsia="ja-JP"/>
        </w:rPr>
      </w:pPr>
      <w:r w:rsidRPr="007F3E0D">
        <w:rPr>
          <w:rFonts w:eastAsia="MS Mincho"/>
          <w:szCs w:val="22"/>
          <w:lang w:eastAsia="ja-JP"/>
        </w:rPr>
        <w:t>Alt 2:</w:t>
      </w:r>
    </w:p>
    <w:p w14:paraId="1ED7F3D6" w14:textId="77777777" w:rsidR="001736D7" w:rsidRPr="007F3E0D" w:rsidRDefault="001736D7" w:rsidP="001736D7">
      <w:pPr>
        <w:numPr>
          <w:ilvl w:val="2"/>
          <w:numId w:val="21"/>
        </w:numPr>
        <w:tabs>
          <w:tab w:val="clear" w:pos="2160"/>
          <w:tab w:val="num" w:pos="1752"/>
        </w:tabs>
        <w:spacing w:after="0"/>
        <w:ind w:left="1752"/>
        <w:rPr>
          <w:rFonts w:eastAsia="MS Mincho"/>
          <w:szCs w:val="22"/>
          <w:lang w:eastAsia="ja-JP"/>
        </w:rPr>
      </w:pPr>
      <w:r w:rsidRPr="007F3E0D">
        <w:rPr>
          <w:rFonts w:eastAsia="MS Mincho"/>
          <w:szCs w:val="22"/>
          <w:lang w:eastAsia="ja-JP"/>
        </w:rPr>
        <w:t xml:space="preserve">UE reports information about TRP Tx Beam(s) per UE antenna group basis where UE antenna group refers to receive UE antenna panel or subarray </w:t>
      </w:r>
    </w:p>
    <w:p w14:paraId="5DB216A2"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For UEs with more than one UE antenna group, the UE can report TRP Tx Beam(s) and an identifier of the associated UE antenna group per reported TX beam</w:t>
      </w:r>
    </w:p>
    <w:p w14:paraId="141B200B"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different antenna groups can be received simultaneously at the UE.</w:t>
      </w:r>
    </w:p>
    <w:p w14:paraId="6FA8FBA4"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the same UE antenna group may not be possible to be received simultaneously at the UE</w:t>
      </w:r>
    </w:p>
    <w:p w14:paraId="40CAC4E1" w14:textId="77777777" w:rsidR="001736D7" w:rsidRPr="007F3E0D" w:rsidRDefault="001736D7" w:rsidP="001736D7">
      <w:pPr>
        <w:numPr>
          <w:ilvl w:val="0"/>
          <w:numId w:val="22"/>
        </w:numPr>
        <w:spacing w:after="0"/>
        <w:ind w:left="704"/>
        <w:rPr>
          <w:rFonts w:eastAsia="MS Mincho"/>
          <w:szCs w:val="22"/>
          <w:lang w:eastAsia="ja-JP"/>
        </w:rPr>
      </w:pPr>
      <w:r w:rsidRPr="007F3E0D">
        <w:rPr>
          <w:rFonts w:eastAsia="MS Mincho"/>
          <w:szCs w:val="22"/>
          <w:lang w:eastAsia="ja-JP"/>
        </w:rPr>
        <w:t>Further discussion for possible down-selection or merging, especially taking into account overhead</w:t>
      </w:r>
    </w:p>
    <w:p w14:paraId="3DEFC0C8" w14:textId="77777777" w:rsidR="001736D7" w:rsidRDefault="001736D7" w:rsidP="00EB0778"/>
    <w:p w14:paraId="31C398B7" w14:textId="77777777" w:rsidR="00FB5E31" w:rsidRDefault="00FB5E31" w:rsidP="00FB5E31">
      <w:pPr>
        <w:rPr>
          <w:lang w:val="en-GB"/>
        </w:rPr>
      </w:pPr>
      <w:r>
        <w:rPr>
          <w:lang w:val="en-GB"/>
        </w:rPr>
        <w:lastRenderedPageBreak/>
        <w:t>To compare the two alternatives, one crucial factor to be considered is their achievable performance with and without FDM scheduling among users. Assuming only one analog beam can be realized by NW and no FDM scheduling is attempted, only one UE is scheduled at a time. This scheme would favour A1-based group reporting since individual users report their preferred beam groups to be used for transmission, and NW will most likely follow the request unless the TX beams in the request beam group is not realizable by NW.</w:t>
      </w:r>
    </w:p>
    <w:p w14:paraId="37C67913" w14:textId="77777777" w:rsidR="00FB5E31" w:rsidRDefault="00FB5E31" w:rsidP="00FB5E31">
      <w:pPr>
        <w:rPr>
          <w:lang w:val="en-GB"/>
        </w:rPr>
      </w:pPr>
      <w:r>
        <w:rPr>
          <w:lang w:val="en-GB"/>
        </w:rPr>
        <w:t>On the other hand, if FDM scheduling among users is attempted, a compromise on the selected TX beams needs to be achieved in order to put more users at a same scheduling unit. In this case, system can benefit from A2-based group reporting since more beam grouping flexibility is provided to NW for reaching compromise.</w:t>
      </w:r>
    </w:p>
    <w:p w14:paraId="541FAA83" w14:textId="77777777" w:rsidR="00FB5E31" w:rsidRDefault="00FB5E31" w:rsidP="00FB5E31">
      <w:pPr>
        <w:rPr>
          <w:lang w:val="en-GB"/>
        </w:rPr>
      </w:pPr>
      <w:r>
        <w:rPr>
          <w:lang w:val="en-GB"/>
        </w:rPr>
        <w:t>The two considered criteria have their individual benefits in different perspectives. An initial comparison is provided below:</w:t>
      </w:r>
    </w:p>
    <w:p w14:paraId="5DDD50E9" w14:textId="77777777" w:rsidR="00FB5E31" w:rsidRDefault="00FB5E31" w:rsidP="00FB5E31">
      <w:pPr>
        <w:numPr>
          <w:ilvl w:val="0"/>
          <w:numId w:val="23"/>
        </w:numPr>
        <w:spacing w:after="120"/>
        <w:ind w:hanging="357"/>
        <w:rPr>
          <w:lang w:val="en-GB"/>
        </w:rPr>
      </w:pPr>
      <w:r w:rsidRPr="00914BB9">
        <w:t>A1 (based on Alt 1): Different TRP TX beams reported for the same group can be received simultaneously at the UE.</w:t>
      </w:r>
    </w:p>
    <w:p w14:paraId="0E75D503" w14:textId="77777777" w:rsidR="00FB5E31" w:rsidRDefault="00FB5E31" w:rsidP="00FB5E31">
      <w:pPr>
        <w:numPr>
          <w:ilvl w:val="1"/>
          <w:numId w:val="23"/>
        </w:numPr>
        <w:spacing w:after="120"/>
        <w:ind w:hanging="357"/>
        <w:rPr>
          <w:lang w:val="en-GB"/>
        </w:rPr>
      </w:pPr>
      <w:r>
        <w:rPr>
          <w:lang w:val="en-GB"/>
        </w:rPr>
        <w:t>Pros:</w:t>
      </w:r>
    </w:p>
    <w:p w14:paraId="597989D0" w14:textId="77777777" w:rsidR="00FB5E31" w:rsidRDefault="00FB5E31" w:rsidP="00FB5E31">
      <w:pPr>
        <w:numPr>
          <w:ilvl w:val="2"/>
          <w:numId w:val="23"/>
        </w:numPr>
        <w:spacing w:after="120"/>
        <w:ind w:hanging="357"/>
        <w:rPr>
          <w:lang w:val="en-GB"/>
        </w:rPr>
      </w:pPr>
      <w:r>
        <w:rPr>
          <w:lang w:val="en-GB"/>
        </w:rPr>
        <w:t>Reported beam group reflects UE’s preference on NW TX beams.</w:t>
      </w:r>
    </w:p>
    <w:p w14:paraId="26A8D378" w14:textId="77777777" w:rsidR="00FB5E31" w:rsidRDefault="00FB5E31" w:rsidP="00FB5E31">
      <w:pPr>
        <w:numPr>
          <w:ilvl w:val="2"/>
          <w:numId w:val="23"/>
        </w:numPr>
        <w:spacing w:after="120"/>
        <w:ind w:hanging="357"/>
        <w:rPr>
          <w:lang w:val="en-GB"/>
        </w:rPr>
      </w:pPr>
      <w:r>
        <w:rPr>
          <w:lang w:val="en-GB"/>
        </w:rPr>
        <w:t>The number of groups is not limited to UE receiving capability, i.e., antenna groups.</w:t>
      </w:r>
    </w:p>
    <w:p w14:paraId="35C57371" w14:textId="77777777" w:rsidR="00FB5E31" w:rsidRDefault="00FB5E31" w:rsidP="00FB5E31">
      <w:pPr>
        <w:numPr>
          <w:ilvl w:val="2"/>
          <w:numId w:val="23"/>
        </w:numPr>
        <w:spacing w:after="120"/>
        <w:ind w:hanging="357"/>
        <w:rPr>
          <w:lang w:val="en-GB"/>
        </w:rPr>
      </w:pPr>
      <w:r>
        <w:rPr>
          <w:lang w:val="en-GB"/>
        </w:rPr>
        <w:t>Preferred beam group can be determined not only based on RSRP, but potentially could also be based on an estimated throughput by assuming a preferred precoder</w:t>
      </w:r>
    </w:p>
    <w:p w14:paraId="72EA8F83" w14:textId="77777777" w:rsidR="00FB5E31" w:rsidRDefault="00FB5E31" w:rsidP="00FB5E31">
      <w:pPr>
        <w:numPr>
          <w:ilvl w:val="2"/>
          <w:numId w:val="23"/>
        </w:numPr>
        <w:spacing w:after="120"/>
        <w:ind w:hanging="357"/>
        <w:rPr>
          <w:lang w:val="en-GB"/>
        </w:rPr>
      </w:pPr>
      <w:r>
        <w:rPr>
          <w:lang w:val="en-GB"/>
        </w:rPr>
        <w:t>Beneficial in non-FDM scheduling case</w:t>
      </w:r>
    </w:p>
    <w:p w14:paraId="2B909026" w14:textId="77777777" w:rsidR="00FB5E31" w:rsidRDefault="00FB5E31" w:rsidP="00FB5E31">
      <w:pPr>
        <w:numPr>
          <w:ilvl w:val="0"/>
          <w:numId w:val="23"/>
        </w:numPr>
        <w:spacing w:after="120"/>
        <w:ind w:hanging="357"/>
        <w:rPr>
          <w:lang w:val="en-GB"/>
        </w:rPr>
      </w:pPr>
      <w:r w:rsidRPr="00914BB9">
        <w:t>A2 (based on Alt 2): Different TRP TX beams reported for different groups can be received simultaneously at the UE.</w:t>
      </w:r>
    </w:p>
    <w:p w14:paraId="63F6C982" w14:textId="77777777" w:rsidR="00FB5E31" w:rsidRDefault="00FB5E31" w:rsidP="00FB5E31">
      <w:pPr>
        <w:numPr>
          <w:ilvl w:val="1"/>
          <w:numId w:val="23"/>
        </w:numPr>
        <w:spacing w:after="120"/>
        <w:ind w:hanging="357"/>
        <w:rPr>
          <w:lang w:val="en-GB"/>
        </w:rPr>
      </w:pPr>
      <w:r>
        <w:rPr>
          <w:lang w:val="en-GB"/>
        </w:rPr>
        <w:t>Pros:</w:t>
      </w:r>
    </w:p>
    <w:p w14:paraId="0D9D79EA" w14:textId="77777777" w:rsidR="00FB5E31" w:rsidRDefault="00FB5E31" w:rsidP="00FB5E31">
      <w:pPr>
        <w:numPr>
          <w:ilvl w:val="2"/>
          <w:numId w:val="23"/>
        </w:numPr>
        <w:spacing w:after="120"/>
        <w:ind w:hanging="357"/>
        <w:rPr>
          <w:lang w:val="en-GB"/>
        </w:rPr>
      </w:pPr>
      <w:r>
        <w:rPr>
          <w:lang w:val="en-GB"/>
        </w:rPr>
        <w:t>NW can select TX beams to serve UE based on UE’s report and NW capability</w:t>
      </w:r>
    </w:p>
    <w:p w14:paraId="6D5AB8E2" w14:textId="77777777" w:rsidR="00FB5E31" w:rsidRDefault="00FB5E31" w:rsidP="00FB5E31">
      <w:pPr>
        <w:numPr>
          <w:ilvl w:val="2"/>
          <w:numId w:val="23"/>
        </w:numPr>
        <w:spacing w:after="120"/>
        <w:ind w:hanging="357"/>
        <w:rPr>
          <w:lang w:val="en-GB"/>
        </w:rPr>
      </w:pPr>
      <w:r>
        <w:rPr>
          <w:lang w:val="en-GB"/>
        </w:rPr>
        <w:t>To achieve same flexibility of beam combinations at NW side, less overhead is needed than beam set based reporting</w:t>
      </w:r>
    </w:p>
    <w:p w14:paraId="4C739CC1" w14:textId="77777777" w:rsidR="00FB5E31" w:rsidRDefault="00FB5E31" w:rsidP="00FB5E31">
      <w:pPr>
        <w:numPr>
          <w:ilvl w:val="2"/>
          <w:numId w:val="23"/>
        </w:numPr>
        <w:spacing w:after="120"/>
        <w:ind w:hanging="357"/>
        <w:rPr>
          <w:lang w:val="en-GB"/>
        </w:rPr>
      </w:pPr>
      <w:r>
        <w:rPr>
          <w:lang w:val="en-GB"/>
        </w:rPr>
        <w:t>Beneficial in FDM scheduling case</w:t>
      </w:r>
    </w:p>
    <w:p w14:paraId="70B2F923" w14:textId="54AC092A" w:rsidR="001736D7" w:rsidRDefault="00E34CA3" w:rsidP="00EB0778">
      <w:pPr>
        <w:rPr>
          <w:lang w:val="en-GB"/>
        </w:rPr>
      </w:pPr>
      <w:r>
        <w:rPr>
          <w:lang w:val="en-GB"/>
        </w:rPr>
        <w:t>In current TS 38.214, group-based reporting supports to report N=2 beams. This makes the above 2 alternatives indistinguishable.</w:t>
      </w:r>
      <w:r w:rsidR="00581CFD">
        <w:rPr>
          <w:lang w:val="en-GB"/>
        </w:rPr>
        <w:t xml:space="preserve"> </w:t>
      </w:r>
      <w:r w:rsidR="00D177F3">
        <w:rPr>
          <w:lang w:val="en-GB"/>
        </w:rPr>
        <w:t xml:space="preserve">More specifically, </w:t>
      </w:r>
      <w:r w:rsidR="00D177F3">
        <w:t xml:space="preserve">In Rel-15 38.214, </w:t>
      </w:r>
      <w:r w:rsidR="00D177F3" w:rsidRPr="0048482F">
        <w:t xml:space="preserve">if the UE is configured with the higher layer parameter </w:t>
      </w:r>
      <w:r w:rsidR="00D177F3" w:rsidRPr="0024003D">
        <w:rPr>
          <w:i/>
        </w:rPr>
        <w:t>groupBasedBeamReporting</w:t>
      </w:r>
      <w:r w:rsidR="00D177F3" w:rsidRPr="0048482F">
        <w:rPr>
          <w:i/>
        </w:rPr>
        <w:t xml:space="preserve"> </w:t>
      </w:r>
      <w:r w:rsidR="00D177F3" w:rsidRPr="0048482F">
        <w:t xml:space="preserve">set to </w:t>
      </w:r>
      <w:r w:rsidR="00D177F3">
        <w:t>'enabled'</w:t>
      </w:r>
      <w:r w:rsidR="00D177F3" w:rsidRPr="0048482F">
        <w:t xml:space="preserve">, </w:t>
      </w:r>
      <w:r w:rsidR="00D177F3">
        <w:t xml:space="preserve">the UE is not required to update measurements for more than 64 CSI-RS and/or SSB resources, and </w:t>
      </w:r>
      <w:r w:rsidR="00D177F3" w:rsidRPr="0048482F">
        <w:t xml:space="preserve">the UE </w:t>
      </w:r>
      <w:r w:rsidR="00D177F3">
        <w:t>shall</w:t>
      </w:r>
      <w:r w:rsidR="00D177F3" w:rsidRPr="0048482F">
        <w:t xml:space="preserve"> report in a single reporting instance </w:t>
      </w:r>
      <w:r w:rsidR="00D177F3">
        <w:t>two different CRI or SSBRI</w:t>
      </w:r>
      <w:r w:rsidR="00D177F3" w:rsidRPr="0048482F">
        <w:t xml:space="preserve"> </w:t>
      </w:r>
      <w:r w:rsidR="00D177F3">
        <w:t xml:space="preserve">for each report setting, </w:t>
      </w:r>
      <w:r w:rsidR="00D177F3" w:rsidRPr="0048482F">
        <w:t>where CSI-RS and</w:t>
      </w:r>
      <w:r w:rsidR="00D177F3">
        <w:t>/</w:t>
      </w:r>
      <w:r w:rsidR="00D177F3" w:rsidRPr="0048482F">
        <w:t xml:space="preserve">or SSB resources can be received simultaneously by the UE either with a single </w:t>
      </w:r>
      <w:r w:rsidR="00D177F3" w:rsidRPr="0048482F">
        <w:rPr>
          <w:rFonts w:eastAsia="MS Mincho"/>
        </w:rPr>
        <w:t>spatial domain receive filter</w:t>
      </w:r>
      <w:r w:rsidR="00D177F3" w:rsidRPr="0048482F">
        <w:t xml:space="preserve">, or with multiple simultaneous </w:t>
      </w:r>
      <w:r w:rsidR="00D177F3" w:rsidRPr="0048482F">
        <w:rPr>
          <w:rFonts w:eastAsia="MS Mincho"/>
        </w:rPr>
        <w:t>spatial domain receive filters</w:t>
      </w:r>
      <w:r w:rsidR="00D177F3" w:rsidRPr="0048482F">
        <w:t>.</w:t>
      </w:r>
      <w:r w:rsidR="00D177F3">
        <w:t xml:space="preserve"> I</w:t>
      </w:r>
      <w:r w:rsidR="00D177F3">
        <w:rPr>
          <w:rFonts w:hint="eastAsia"/>
          <w:lang w:eastAsia="zh-TW"/>
        </w:rPr>
        <w:t xml:space="preserve">f the two </w:t>
      </w:r>
      <w:r w:rsidR="00D177F3">
        <w:rPr>
          <w:lang w:eastAsia="zh-TW"/>
        </w:rPr>
        <w:t>reported beams belong to a same group, it would be Alt 1. If the two reported beams belong to different groups, it would be Alt 2. However, we can see that there is no “group” definition in Rel.15 spec. We don’t have to differentiate that it is Alt1 or Alt2.</w:t>
      </w:r>
      <w:r w:rsidR="00D177F3">
        <w:rPr>
          <w:rFonts w:hint="eastAsia"/>
          <w:lang w:eastAsia="zh-TW"/>
        </w:rPr>
        <w:t xml:space="preserve"> </w:t>
      </w:r>
      <w:r w:rsidR="00D177F3">
        <w:rPr>
          <w:lang w:eastAsia="zh-TW"/>
        </w:rPr>
        <w:t xml:space="preserve"> </w:t>
      </w:r>
      <w:r w:rsidR="00581CFD">
        <w:rPr>
          <w:lang w:val="en-GB"/>
        </w:rPr>
        <w:t>The criteria for beam selection is up to UE implementation. In this sense, it can be considered as a merged version of the two alternatives.C</w:t>
      </w:r>
      <w:r w:rsidR="00FB5E31">
        <w:rPr>
          <w:lang w:val="en-GB"/>
        </w:rPr>
        <w:t>urrent multi-panel/multi-TRP scenario</w:t>
      </w:r>
      <w:r w:rsidR="00581CFD">
        <w:rPr>
          <w:lang w:val="en-GB"/>
        </w:rPr>
        <w:t xml:space="preserve"> has not been confirmed and thus,</w:t>
      </w:r>
      <w:r w:rsidR="00FB5E31">
        <w:rPr>
          <w:lang w:val="en-GB"/>
        </w:rPr>
        <w:t xml:space="preserve"> it is not clear whether more than 2 panels/TRPs will be supported or not</w:t>
      </w:r>
      <w:r w:rsidR="00581CFD">
        <w:rPr>
          <w:lang w:val="en-GB"/>
        </w:rPr>
        <w:t>.</w:t>
      </w:r>
      <w:r w:rsidR="00FB5E31">
        <w:rPr>
          <w:lang w:val="en-GB"/>
        </w:rPr>
        <w:t xml:space="preserve"> </w:t>
      </w:r>
      <w:r w:rsidR="00581CFD">
        <w:rPr>
          <w:lang w:val="en-GB"/>
        </w:rPr>
        <w:t>Before considering increasing the number of reported beams, more study is needed to justify the need.</w:t>
      </w:r>
      <w:r w:rsidR="00E744CF">
        <w:rPr>
          <w:lang w:val="en-GB"/>
        </w:rPr>
        <w:t xml:space="preserve"> If further extension is </w:t>
      </w:r>
      <w:r w:rsidR="00D049DE">
        <w:rPr>
          <w:lang w:val="en-GB"/>
        </w:rPr>
        <w:t>still desirable</w:t>
      </w:r>
      <w:r w:rsidR="00E744CF">
        <w:rPr>
          <w:lang w:val="en-GB"/>
        </w:rPr>
        <w:t>, a solution that is compatible with the principles of UL SRS-based beam management should be prioritized.</w:t>
      </w:r>
    </w:p>
    <w:p w14:paraId="1D0CB9C4" w14:textId="66E87A47" w:rsidR="00950738" w:rsidRDefault="00950738" w:rsidP="00950738">
      <w:pPr>
        <w:pStyle w:val="Caption"/>
      </w:pPr>
      <w:bookmarkStart w:id="3" w:name="_Ref525988381"/>
      <w:r>
        <w:t xml:space="preserve">Observation </w:t>
      </w:r>
      <w:r>
        <w:fldChar w:fldCharType="begin"/>
      </w:r>
      <w:r>
        <w:instrText xml:space="preserve"> SEQ Observation \* ARABIC </w:instrText>
      </w:r>
      <w:r>
        <w:fldChar w:fldCharType="separate"/>
      </w:r>
      <w:r w:rsidR="004548FB">
        <w:rPr>
          <w:noProof/>
        </w:rPr>
        <w:t>1</w:t>
      </w:r>
      <w:r>
        <w:fldChar w:fldCharType="end"/>
      </w:r>
      <w:r w:rsidR="00F31793">
        <w:t>: C</w:t>
      </w:r>
      <w:r>
        <w:t>urrently supported group-based reporting mechanism (with N=2 reported beams) is a merged version of the two debating alternatives.</w:t>
      </w:r>
      <w:bookmarkEnd w:id="3"/>
    </w:p>
    <w:p w14:paraId="0C3F4609" w14:textId="76852640" w:rsidR="00950738" w:rsidRDefault="00950738" w:rsidP="00950738">
      <w:pPr>
        <w:pStyle w:val="Caption"/>
      </w:pPr>
      <w:bookmarkStart w:id="4" w:name="_Ref525988383"/>
      <w:r>
        <w:t xml:space="preserve">Observation </w:t>
      </w:r>
      <w:r>
        <w:fldChar w:fldCharType="begin"/>
      </w:r>
      <w:r>
        <w:instrText xml:space="preserve"> SEQ Observation \* ARABIC </w:instrText>
      </w:r>
      <w:r>
        <w:fldChar w:fldCharType="separate"/>
      </w:r>
      <w:r w:rsidR="004548FB">
        <w:rPr>
          <w:noProof/>
        </w:rPr>
        <w:t>2</w:t>
      </w:r>
      <w:r>
        <w:fldChar w:fldCharType="end"/>
      </w:r>
      <w:r w:rsidR="00F31793">
        <w:t>: N</w:t>
      </w:r>
      <w:r>
        <w:t xml:space="preserve">umber of supported </w:t>
      </w:r>
      <w:r w:rsidR="00927CD1">
        <w:t>panels</w:t>
      </w:r>
      <w:r>
        <w:t xml:space="preserve">/TRPs in multi-panel/multi-TRP scenarios </w:t>
      </w:r>
      <w:r w:rsidR="00927CD1">
        <w:t>should</w:t>
      </w:r>
      <w:r>
        <w:t xml:space="preserve"> be confirmed </w:t>
      </w:r>
      <w:r w:rsidR="00927CD1">
        <w:t xml:space="preserve">first </w:t>
      </w:r>
      <w:r>
        <w:t>before considering increasing the number reported beams in group-based reporting.</w:t>
      </w:r>
      <w:bookmarkEnd w:id="4"/>
    </w:p>
    <w:p w14:paraId="726E72BA" w14:textId="77777777" w:rsidR="00AF04BE" w:rsidRDefault="00C96695" w:rsidP="00AF04BE">
      <w:pPr>
        <w:pStyle w:val="Heading2"/>
        <w:numPr>
          <w:ilvl w:val="1"/>
          <w:numId w:val="1"/>
        </w:numPr>
      </w:pPr>
      <w:r>
        <w:lastRenderedPageBreak/>
        <w:t xml:space="preserve">Interference measurement consideration for </w:t>
      </w:r>
      <w:r w:rsidR="00AF04BE">
        <w:t>L1-SINR</w:t>
      </w:r>
    </w:p>
    <w:p w14:paraId="5FDAB8F2" w14:textId="29664347" w:rsidR="00A84E1D" w:rsidRDefault="00A84E1D" w:rsidP="007F3E0D">
      <w:r>
        <w:t>At the NR Ad Hoc meeting in Taipei, the following was agreed concerning scenarios for L1-SINR:</w:t>
      </w:r>
    </w:p>
    <w:p w14:paraId="318BA2D2" w14:textId="77777777" w:rsidR="00A84E1D" w:rsidRPr="00155A5B" w:rsidRDefault="00A84E1D" w:rsidP="00A84E1D">
      <w:pPr>
        <w:jc w:val="both"/>
        <w:rPr>
          <w:b/>
          <w:highlight w:val="green"/>
        </w:rPr>
      </w:pPr>
      <w:r w:rsidRPr="00155A5B">
        <w:rPr>
          <w:b/>
          <w:highlight w:val="green"/>
        </w:rPr>
        <w:t>Agreement</w:t>
      </w:r>
    </w:p>
    <w:p w14:paraId="54F228D5" w14:textId="77777777" w:rsidR="00A84E1D" w:rsidRPr="00155A5B" w:rsidRDefault="00A84E1D" w:rsidP="00A84E1D">
      <w:pPr>
        <w:pStyle w:val="ListParagraph"/>
        <w:ind w:left="0"/>
        <w:jc w:val="both"/>
      </w:pPr>
      <w:r w:rsidRPr="00155A5B">
        <w:t>For L1-SINR, interference can be measured based on dedicated resource(s) for interference measurement.</w:t>
      </w:r>
    </w:p>
    <w:p w14:paraId="69154559" w14:textId="77777777" w:rsidR="00A84E1D" w:rsidRPr="00155A5B" w:rsidRDefault="00A84E1D" w:rsidP="00A84E1D">
      <w:pPr>
        <w:pStyle w:val="ListParagraph"/>
        <w:numPr>
          <w:ilvl w:val="0"/>
          <w:numId w:val="32"/>
        </w:numPr>
        <w:spacing w:after="0"/>
        <w:contextualSpacing/>
        <w:jc w:val="both"/>
        <w:rPr>
          <w:rFonts w:eastAsia="SimSun"/>
        </w:rPr>
      </w:pPr>
      <w:r w:rsidRPr="00155A5B">
        <w:rPr>
          <w:rFonts w:eastAsia="SimSun"/>
        </w:rPr>
        <w:t>FFS: UE assumes interference signal on the REs of the RS for signal part and REs for dedicated resource(s) for interference measurement similar to specified in 38.214</w:t>
      </w:r>
    </w:p>
    <w:p w14:paraId="70125C98" w14:textId="77777777" w:rsidR="00A84E1D" w:rsidRPr="00155A5B" w:rsidRDefault="00A84E1D" w:rsidP="00A84E1D">
      <w:pPr>
        <w:pStyle w:val="ListParagraph"/>
        <w:numPr>
          <w:ilvl w:val="0"/>
          <w:numId w:val="32"/>
        </w:numPr>
        <w:spacing w:after="0"/>
        <w:contextualSpacing/>
        <w:jc w:val="both"/>
        <w:rPr>
          <w:rFonts w:eastAsia="SimSun"/>
        </w:rPr>
      </w:pPr>
      <w:r w:rsidRPr="00155A5B">
        <w:rPr>
          <w:rFonts w:eastAsia="SimSun"/>
        </w:rPr>
        <w:t>FFS: whether resource(s) for interference measurement can be NZP based or ZP based or both</w:t>
      </w:r>
    </w:p>
    <w:p w14:paraId="0B771754" w14:textId="77777777" w:rsidR="00A84E1D" w:rsidRPr="00155A5B" w:rsidRDefault="00A84E1D" w:rsidP="00A84E1D">
      <w:pPr>
        <w:pStyle w:val="ListParagraph"/>
        <w:numPr>
          <w:ilvl w:val="0"/>
          <w:numId w:val="32"/>
        </w:numPr>
        <w:spacing w:after="0"/>
        <w:contextualSpacing/>
        <w:jc w:val="both"/>
        <w:rPr>
          <w:rFonts w:eastAsia="SimSun"/>
        </w:rPr>
      </w:pPr>
      <w:r w:rsidRPr="00155A5B">
        <w:rPr>
          <w:rFonts w:eastAsia="SimSun"/>
        </w:rPr>
        <w:t xml:space="preserve">FFS: whether/how to reuse NZP CSI-RS resource(s) configured for channel measurement as resource(s) for interference measurement </w:t>
      </w:r>
    </w:p>
    <w:p w14:paraId="719885B2" w14:textId="77777777" w:rsidR="00A84E1D" w:rsidRDefault="00A84E1D" w:rsidP="00AF04BE">
      <w:pPr>
        <w:rPr>
          <w:szCs w:val="22"/>
        </w:rPr>
      </w:pPr>
    </w:p>
    <w:p w14:paraId="123430E6" w14:textId="77777777" w:rsidR="00AF04BE" w:rsidRDefault="00AF04BE" w:rsidP="00AF04BE">
      <w:pPr>
        <w:rPr>
          <w:bCs/>
          <w:szCs w:val="22"/>
        </w:rPr>
      </w:pPr>
      <w:r w:rsidRPr="00380D85">
        <w:rPr>
          <w:szCs w:val="22"/>
        </w:rPr>
        <w:t>It ha</w:t>
      </w:r>
      <w:r w:rsidR="00434981">
        <w:rPr>
          <w:szCs w:val="22"/>
        </w:rPr>
        <w:t>s</w:t>
      </w:r>
      <w:r w:rsidRPr="00380D85">
        <w:rPr>
          <w:szCs w:val="22"/>
        </w:rPr>
        <w:t xml:space="preserve"> been agreed to s</w:t>
      </w:r>
      <w:r w:rsidRPr="00380D85">
        <w:rPr>
          <w:rFonts w:eastAsia="Malgun Gothic"/>
          <w:szCs w:val="22"/>
          <w:lang w:eastAsia="ko-KR"/>
        </w:rPr>
        <w:t xml:space="preserve">pecify measurement and reporting of L1-SINR in Rel-16 at least </w:t>
      </w:r>
      <w:r w:rsidRPr="00380D85">
        <w:rPr>
          <w:szCs w:val="22"/>
          <w:lang w:eastAsia="ko-KR"/>
        </w:rPr>
        <w:t xml:space="preserve">targeting </w:t>
      </w:r>
      <w:r w:rsidRPr="00380D85">
        <w:rPr>
          <w:rFonts w:eastAsia="Malgun Gothic"/>
          <w:szCs w:val="22"/>
          <w:lang w:eastAsia="ko-KR"/>
        </w:rPr>
        <w:t>FR2</w:t>
      </w:r>
      <w:r w:rsidRPr="00380D85">
        <w:rPr>
          <w:szCs w:val="22"/>
          <w:lang w:eastAsia="ko-KR"/>
        </w:rPr>
        <w:t xml:space="preserve"> operation.</w:t>
      </w:r>
      <w:r w:rsidRPr="00380D85">
        <w:rPr>
          <w:rFonts w:eastAsia="Malgun Gothic"/>
          <w:szCs w:val="22"/>
          <w:lang w:eastAsia="ko-KR"/>
        </w:rPr>
        <w:t xml:space="preserve"> </w:t>
      </w:r>
      <w:r w:rsidRPr="00380D85">
        <w:rPr>
          <w:szCs w:val="22"/>
        </w:rPr>
        <w:t xml:space="preserve">Different from L1-RSRP, L1-SINR aims to reflect interference level in </w:t>
      </w:r>
      <w:r w:rsidR="00502EE0">
        <w:rPr>
          <w:szCs w:val="22"/>
        </w:rPr>
        <w:t>beam measurement report</w:t>
      </w:r>
      <w:r w:rsidRPr="00380D85">
        <w:rPr>
          <w:szCs w:val="22"/>
        </w:rPr>
        <w:t>.</w:t>
      </w:r>
      <w:r w:rsidR="00935B8D">
        <w:rPr>
          <w:szCs w:val="22"/>
        </w:rPr>
        <w:t xml:space="preserve"> This provides additional</w:t>
      </w:r>
      <w:r w:rsidR="00502EE0">
        <w:rPr>
          <w:szCs w:val="22"/>
        </w:rPr>
        <w:t xml:space="preserve"> information for NW to select TX beams with better channel quality.</w:t>
      </w:r>
      <w:r w:rsidRPr="00380D85">
        <w:rPr>
          <w:szCs w:val="22"/>
        </w:rPr>
        <w:t xml:space="preserve"> Since the effect of interference can be captured in L1-SINR and the interference may come from neighboring cells or co-channel beams from the same TRP or multiple TRPs, we may further take inter-beam interference into consideration, especially for the operations with simultaneous transmission with </w:t>
      </w:r>
      <w:r w:rsidRPr="00380D85">
        <w:rPr>
          <w:bCs/>
          <w:szCs w:val="22"/>
        </w:rPr>
        <w:t>multiple-beams, which can be transmitted by multiple-panels or multi-TRPs.</w:t>
      </w:r>
      <w:r w:rsidR="00C96695">
        <w:rPr>
          <w:bCs/>
          <w:szCs w:val="22"/>
        </w:rPr>
        <w:t xml:space="preserve"> </w:t>
      </w:r>
    </w:p>
    <w:p w14:paraId="7744AD9C" w14:textId="77777777" w:rsidR="00C96695" w:rsidRDefault="00C96695" w:rsidP="00AF04BE">
      <w:pPr>
        <w:rPr>
          <w:bCs/>
          <w:szCs w:val="22"/>
        </w:rPr>
      </w:pPr>
      <w:r>
        <w:rPr>
          <w:bCs/>
          <w:szCs w:val="22"/>
        </w:rPr>
        <w:t xml:space="preserve">From our point of view, such interference consideration is of importance when group-based reporting is enabled. Since multiple beams are transmitted towards the UE simultaneously, selecting a beam </w:t>
      </w:r>
      <w:r w:rsidR="00935B8D">
        <w:rPr>
          <w:bCs/>
          <w:szCs w:val="22"/>
        </w:rPr>
        <w:t xml:space="preserve">or a beam </w:t>
      </w:r>
      <w:r>
        <w:rPr>
          <w:bCs/>
          <w:szCs w:val="22"/>
        </w:rPr>
        <w:t xml:space="preserve">group with preferred inter-beam interference </w:t>
      </w:r>
      <w:r w:rsidR="00935B8D">
        <w:rPr>
          <w:bCs/>
          <w:szCs w:val="22"/>
        </w:rPr>
        <w:t>is crucial</w:t>
      </w:r>
      <w:r>
        <w:rPr>
          <w:bCs/>
          <w:szCs w:val="22"/>
        </w:rPr>
        <w:t xml:space="preserve"> for efficient transmission. In summary, we consider that the following scenarios should be considered in defining L1-SINR:</w:t>
      </w:r>
    </w:p>
    <w:p w14:paraId="20C53382" w14:textId="77777777" w:rsidR="00C96695" w:rsidRDefault="00935B8D" w:rsidP="00F31793">
      <w:pPr>
        <w:numPr>
          <w:ilvl w:val="0"/>
          <w:numId w:val="14"/>
        </w:numPr>
        <w:rPr>
          <w:bCs/>
          <w:szCs w:val="22"/>
        </w:rPr>
      </w:pPr>
      <w:r>
        <w:rPr>
          <w:bCs/>
          <w:szCs w:val="22"/>
        </w:rPr>
        <w:t>Transmission based on panel/TRP selection</w:t>
      </w:r>
      <w:r w:rsidR="00C96695">
        <w:rPr>
          <w:bCs/>
          <w:szCs w:val="22"/>
        </w:rPr>
        <w:t xml:space="preserve">: reported beams </w:t>
      </w:r>
      <w:r w:rsidR="00D7736B">
        <w:rPr>
          <w:bCs/>
          <w:szCs w:val="22"/>
        </w:rPr>
        <w:t>are</w:t>
      </w:r>
      <w:r w:rsidR="00C96695">
        <w:rPr>
          <w:bCs/>
          <w:szCs w:val="22"/>
        </w:rPr>
        <w:t xml:space="preserve"> used independently. For example, </w:t>
      </w:r>
      <w:r w:rsidR="00D7736B">
        <w:rPr>
          <w:bCs/>
          <w:szCs w:val="22"/>
        </w:rPr>
        <w:t>each beam is used in a TDM manner. In this case, n</w:t>
      </w:r>
      <w:r w:rsidR="00C96695">
        <w:rPr>
          <w:bCs/>
          <w:szCs w:val="22"/>
        </w:rPr>
        <w:t>o mutual interference between reported beams is required</w:t>
      </w:r>
    </w:p>
    <w:p w14:paraId="4855C330" w14:textId="77777777" w:rsidR="00C96695" w:rsidRDefault="00C96695" w:rsidP="00F31793">
      <w:pPr>
        <w:numPr>
          <w:ilvl w:val="0"/>
          <w:numId w:val="14"/>
        </w:numPr>
        <w:rPr>
          <w:bCs/>
          <w:szCs w:val="22"/>
        </w:rPr>
      </w:pPr>
      <w:r>
        <w:rPr>
          <w:bCs/>
          <w:szCs w:val="22"/>
        </w:rPr>
        <w:t xml:space="preserve">Group-based transmission </w:t>
      </w:r>
      <w:r w:rsidR="00D7736B">
        <w:rPr>
          <w:bCs/>
          <w:szCs w:val="22"/>
        </w:rPr>
        <w:t>with FDM scheduling</w:t>
      </w:r>
      <w:r>
        <w:rPr>
          <w:bCs/>
          <w:szCs w:val="22"/>
        </w:rPr>
        <w:t>:</w:t>
      </w:r>
      <w:r w:rsidR="00D7736B">
        <w:rPr>
          <w:bCs/>
          <w:szCs w:val="22"/>
        </w:rPr>
        <w:t xml:space="preserve"> reported beams can be used at the same time. However, scheduling corresponding to </w:t>
      </w:r>
      <w:r w:rsidR="00502EE0">
        <w:rPr>
          <w:bCs/>
          <w:szCs w:val="22"/>
        </w:rPr>
        <w:t xml:space="preserve">individual beams is FDM’ed, to e.g., take into account strong inter-beam interference. </w:t>
      </w:r>
    </w:p>
    <w:p w14:paraId="1D2DF4C9" w14:textId="77777777" w:rsidR="00C96695" w:rsidRDefault="00C96695" w:rsidP="00F31793">
      <w:pPr>
        <w:numPr>
          <w:ilvl w:val="0"/>
          <w:numId w:val="14"/>
        </w:numPr>
        <w:rPr>
          <w:bCs/>
          <w:szCs w:val="22"/>
        </w:rPr>
      </w:pPr>
      <w:r>
        <w:rPr>
          <w:bCs/>
          <w:szCs w:val="22"/>
        </w:rPr>
        <w:t>Group-based transmission:</w:t>
      </w:r>
      <w:r w:rsidR="00502EE0">
        <w:rPr>
          <w:bCs/>
          <w:szCs w:val="22"/>
        </w:rPr>
        <w:t xml:space="preserve"> reported beams can be used at the same time, without additional scheduling constraint. For example, mutual interference between scheduled beams is small.</w:t>
      </w:r>
    </w:p>
    <w:p w14:paraId="07148F86" w14:textId="77777777" w:rsidR="00502EE0" w:rsidRDefault="00502EE0" w:rsidP="00F31793">
      <w:pPr>
        <w:rPr>
          <w:bCs/>
          <w:szCs w:val="22"/>
        </w:rPr>
      </w:pPr>
      <w:r>
        <w:rPr>
          <w:bCs/>
          <w:szCs w:val="22"/>
        </w:rPr>
        <w:t>To achieve the above-mentioned scenarios, NW needs L1-</w:t>
      </w:r>
      <w:r w:rsidR="00207234">
        <w:rPr>
          <w:bCs/>
          <w:szCs w:val="22"/>
        </w:rPr>
        <w:t>SINR</w:t>
      </w:r>
      <w:r>
        <w:rPr>
          <w:bCs/>
          <w:szCs w:val="22"/>
        </w:rPr>
        <w:t xml:space="preserve"> report both with and without inter-beam interference consideration. For overhead reduction, one can consider an absolute </w:t>
      </w:r>
      <w:r w:rsidR="00EE5127">
        <w:rPr>
          <w:bCs/>
          <w:szCs w:val="22"/>
        </w:rPr>
        <w:t>L1-SINR</w:t>
      </w:r>
      <w:r>
        <w:rPr>
          <w:bCs/>
          <w:szCs w:val="22"/>
        </w:rPr>
        <w:t xml:space="preserve"> without inter-beam interference and a corresponding degradation value when inter-beam interference is taken into account.</w:t>
      </w:r>
    </w:p>
    <w:p w14:paraId="3D9A2026" w14:textId="77777777" w:rsidR="00A84E1D" w:rsidRDefault="00A84E1D" w:rsidP="00A84E1D">
      <w:bookmarkStart w:id="5" w:name="_Ref525988306"/>
      <w:r>
        <w:t>At the NR Ad Hoc meeting in Taipei, the following was proposed concerning scenarios for L1-SINR:</w:t>
      </w:r>
    </w:p>
    <w:p w14:paraId="5CD03455" w14:textId="161D1F28" w:rsidR="00A84E1D" w:rsidRPr="00A84E1D" w:rsidRDefault="00A84E1D" w:rsidP="00A84E1D">
      <w:pPr>
        <w:overflowPunct w:val="0"/>
        <w:autoSpaceDE w:val="0"/>
        <w:autoSpaceDN w:val="0"/>
        <w:adjustRightInd w:val="0"/>
        <w:ind w:firstLine="284"/>
        <w:jc w:val="both"/>
        <w:textAlignment w:val="baseline"/>
        <w:rPr>
          <w:rFonts w:eastAsia="SimSun"/>
          <w:b/>
          <w:szCs w:val="22"/>
          <w:lang w:val="en-GB"/>
        </w:rPr>
      </w:pPr>
      <w:r w:rsidRPr="00A84E1D">
        <w:rPr>
          <w:rFonts w:eastAsia="SimSun"/>
          <w:b/>
          <w:szCs w:val="22"/>
          <w:lang w:val="en-GB"/>
        </w:rPr>
        <w:t xml:space="preserve">Proposal </w:t>
      </w:r>
      <w:r w:rsidR="00461443">
        <w:rPr>
          <w:rFonts w:eastAsia="SimSun"/>
          <w:b/>
          <w:szCs w:val="22"/>
          <w:lang w:val="en-GB"/>
        </w:rPr>
        <w:t>1-1</w:t>
      </w:r>
      <w:r w:rsidRPr="00A84E1D">
        <w:rPr>
          <w:rFonts w:eastAsia="SimSun"/>
          <w:b/>
          <w:szCs w:val="22"/>
          <w:lang w:val="en-GB"/>
        </w:rPr>
        <w:t xml:space="preserve">: </w:t>
      </w:r>
    </w:p>
    <w:p w14:paraId="3A749B9D" w14:textId="77777777" w:rsidR="00A84E1D" w:rsidRDefault="00A84E1D" w:rsidP="00A84E1D">
      <w:pPr>
        <w:numPr>
          <w:ilvl w:val="0"/>
          <w:numId w:val="35"/>
        </w:numPr>
        <w:overflowPunct w:val="0"/>
        <w:autoSpaceDE w:val="0"/>
        <w:autoSpaceDN w:val="0"/>
        <w:adjustRightInd w:val="0"/>
        <w:spacing w:after="0"/>
        <w:jc w:val="both"/>
        <w:textAlignment w:val="baseline"/>
        <w:rPr>
          <w:rFonts w:eastAsia="Calibri"/>
          <w:b/>
          <w:szCs w:val="22"/>
        </w:rPr>
      </w:pPr>
      <w:r w:rsidRPr="00A84E1D">
        <w:rPr>
          <w:rFonts w:eastAsia="Calibri"/>
          <w:b/>
          <w:szCs w:val="22"/>
        </w:rPr>
        <w:t>On L1-SINR based beam reporting content, at least to reuse L1-RSRP based beam reporting format specified in Rel-15 is supported.</w:t>
      </w:r>
    </w:p>
    <w:p w14:paraId="26829DBE" w14:textId="77777777" w:rsidR="00A84E1D" w:rsidRPr="00A84E1D" w:rsidRDefault="00A84E1D" w:rsidP="00A84E1D">
      <w:pPr>
        <w:overflowPunct w:val="0"/>
        <w:autoSpaceDE w:val="0"/>
        <w:autoSpaceDN w:val="0"/>
        <w:adjustRightInd w:val="0"/>
        <w:spacing w:after="0"/>
        <w:ind w:left="1004"/>
        <w:jc w:val="both"/>
        <w:textAlignment w:val="baseline"/>
        <w:rPr>
          <w:rFonts w:eastAsia="Calibri"/>
          <w:b/>
          <w:szCs w:val="22"/>
        </w:rPr>
      </w:pPr>
    </w:p>
    <w:p w14:paraId="7BEA5557" w14:textId="3B28D77A" w:rsidR="00A84E1D" w:rsidRPr="00641A3F" w:rsidRDefault="00A84E1D" w:rsidP="00A84E1D">
      <w:pPr>
        <w:ind w:firstLine="284"/>
        <w:jc w:val="both"/>
        <w:rPr>
          <w:b/>
          <w:szCs w:val="22"/>
        </w:rPr>
      </w:pPr>
      <w:r w:rsidRPr="00641A3F">
        <w:rPr>
          <w:b/>
          <w:szCs w:val="22"/>
        </w:rPr>
        <w:t xml:space="preserve">Proposal </w:t>
      </w:r>
      <w:r w:rsidR="00461443">
        <w:rPr>
          <w:b/>
          <w:szCs w:val="22"/>
        </w:rPr>
        <w:t>1-2</w:t>
      </w:r>
      <w:r w:rsidRPr="00641A3F">
        <w:rPr>
          <w:b/>
          <w:szCs w:val="22"/>
        </w:rPr>
        <w:t>:</w:t>
      </w:r>
    </w:p>
    <w:p w14:paraId="67D8EA35" w14:textId="77777777" w:rsidR="00A84E1D" w:rsidRPr="007F3E0D" w:rsidRDefault="00A84E1D" w:rsidP="00A84E1D">
      <w:pPr>
        <w:pStyle w:val="ListParagraph"/>
        <w:numPr>
          <w:ilvl w:val="0"/>
          <w:numId w:val="35"/>
        </w:numPr>
        <w:spacing w:after="0"/>
        <w:jc w:val="both"/>
      </w:pPr>
      <w:r w:rsidRPr="0006672C">
        <w:rPr>
          <w:b/>
        </w:rPr>
        <w:t>L1-SINR based beam measurement can be applied to</w:t>
      </w:r>
      <w:r>
        <w:rPr>
          <w:b/>
        </w:rPr>
        <w:t xml:space="preserve"> non-group based beam reporting, group based beam reporting and new beam identification.</w:t>
      </w:r>
    </w:p>
    <w:p w14:paraId="4DC04D25" w14:textId="77777777" w:rsidR="00A84E1D" w:rsidRPr="00641A3F" w:rsidRDefault="00A84E1D" w:rsidP="007F3E0D">
      <w:pPr>
        <w:pStyle w:val="ListParagraph"/>
        <w:spacing w:after="0"/>
        <w:ind w:left="1004"/>
        <w:jc w:val="both"/>
      </w:pPr>
    </w:p>
    <w:p w14:paraId="168A1285" w14:textId="328FB241" w:rsidR="00A84E1D" w:rsidRPr="005E7A03" w:rsidRDefault="00D177F3" w:rsidP="007F3E0D">
      <w:pPr>
        <w:rPr>
          <w:bCs/>
          <w:szCs w:val="22"/>
        </w:rPr>
      </w:pPr>
      <w:r>
        <w:t>Based on our analysis above, w</w:t>
      </w:r>
      <w:r w:rsidR="00A84E1D">
        <w:t>e support Proposal 2.2 and Proposal 2.3.</w:t>
      </w:r>
      <w:bookmarkEnd w:id="5"/>
    </w:p>
    <w:p w14:paraId="44008112" w14:textId="77777777" w:rsidR="00447202" w:rsidRDefault="00447202" w:rsidP="00447202">
      <w:pPr>
        <w:pStyle w:val="Heading2"/>
        <w:numPr>
          <w:ilvl w:val="1"/>
          <w:numId w:val="1"/>
        </w:numPr>
      </w:pPr>
      <w:r>
        <w:lastRenderedPageBreak/>
        <w:t>UL beam management enhancement</w:t>
      </w:r>
    </w:p>
    <w:p w14:paraId="626467CE" w14:textId="77777777" w:rsidR="0004529B" w:rsidRDefault="0046528C" w:rsidP="0004529B">
      <w:pPr>
        <w:jc w:val="both"/>
      </w:pPr>
      <w:r>
        <w:t xml:space="preserve">UL beam management procedure defined in Rel-15 can be used to correct the UL beam pair link misalignment if the tolerance </w:t>
      </w:r>
      <w:r w:rsidR="00A05586">
        <w:t>of UE</w:t>
      </w:r>
      <w:r w:rsidR="00A05586">
        <w:rPr>
          <w:rFonts w:hint="eastAsia"/>
          <w:lang w:eastAsia="zh-TW"/>
        </w:rPr>
        <w:t xml:space="preserve"> beam correspondence </w:t>
      </w:r>
      <w:r>
        <w:t>is big.</w:t>
      </w:r>
      <w:r w:rsidR="009B286C">
        <w:t xml:space="preserve"> </w:t>
      </w:r>
      <w:r>
        <w:t>However, current UL beam management procedure is not efficient in the sense that only full UE TX beam sweeping can be conducted.</w:t>
      </w:r>
      <w:r w:rsidR="009B286C">
        <w:t xml:space="preserve"> To our understanding, UE beam correspondence exists but could be imperfect </w:t>
      </w:r>
      <w:r w:rsidR="009B286C">
        <w:fldChar w:fldCharType="begin"/>
      </w:r>
      <w:r w:rsidR="009B286C">
        <w:instrText xml:space="preserve"> REF _Ref485134794 \n \h </w:instrText>
      </w:r>
      <w:r w:rsidR="009B286C">
        <w:fldChar w:fldCharType="separate"/>
      </w:r>
      <w:r w:rsidR="004548FB">
        <w:t>[5]</w:t>
      </w:r>
      <w:r w:rsidR="009B286C">
        <w:fldChar w:fldCharType="end"/>
      </w:r>
      <w:r w:rsidR="009B286C">
        <w:t xml:space="preserve">. </w:t>
      </w:r>
      <w:r w:rsidR="004F6DA8">
        <w:t>That is to say, UE Tx beams and Rx beams are correlated</w:t>
      </w:r>
      <w:r w:rsidR="009B286C">
        <w:t xml:space="preserve"> anyway</w:t>
      </w:r>
      <w:r w:rsidR="004F6DA8">
        <w:t>. When a Tx beam which is configured with same beamforming weight with a UE Rx beam, a correspondingly best Tx beams would lie in the neighborhood of the Tx beam. In this sense, conditioned on DL beam management results, UL beam management overhead can be reduced instead of starting beam search from scratch</w:t>
      </w:r>
      <w:r w:rsidR="004F6DA8" w:rsidRPr="00451A82">
        <w:t>.</w:t>
      </w:r>
      <w:r w:rsidR="004F6DA8">
        <w:t xml:space="preserve"> </w:t>
      </w:r>
    </w:p>
    <w:p w14:paraId="40EF22A0" w14:textId="55213A99" w:rsidR="004F6DA8" w:rsidRDefault="009B286C" w:rsidP="0004529B">
      <w:pPr>
        <w:jc w:val="both"/>
      </w:pPr>
      <w:r>
        <w:t>Specifically,</w:t>
      </w:r>
      <w:r w:rsidR="004F6DA8">
        <w:t xml:space="preserve"> U-3 procedure which enables NW to measure </w:t>
      </w:r>
      <w:r>
        <w:t xml:space="preserve">locally </w:t>
      </w:r>
      <w:r w:rsidR="004F6DA8">
        <w:t>swept UE TX beams with a fixed RX beam</w:t>
      </w:r>
      <w:r>
        <w:t xml:space="preserve"> should be supported.</w:t>
      </w:r>
      <w:r w:rsidR="004F6DA8">
        <w:t xml:space="preserve"> </w:t>
      </w:r>
      <w:r>
        <w:t>T</w:t>
      </w:r>
      <w:r w:rsidR="004F6DA8">
        <w:t xml:space="preserve">he amount of UE Tx beams to be trained can be narrowed down to the neighborhood of a corresponding DL beam pair link, as illustrated in </w:t>
      </w:r>
      <w:r w:rsidR="004F6DA8">
        <w:fldChar w:fldCharType="begin"/>
      </w:r>
      <w:r w:rsidR="004F6DA8">
        <w:instrText xml:space="preserve"> REF _Ref474148207 \h </w:instrText>
      </w:r>
      <w:r w:rsidR="004F6DA8">
        <w:fldChar w:fldCharType="separate"/>
      </w:r>
      <w:r w:rsidR="004548FB">
        <w:t xml:space="preserve">Figure </w:t>
      </w:r>
      <w:r w:rsidR="004548FB">
        <w:rPr>
          <w:noProof/>
        </w:rPr>
        <w:t>2</w:t>
      </w:r>
      <w:r w:rsidR="004F6DA8">
        <w:fldChar w:fldCharType="end"/>
      </w:r>
      <w:r w:rsidR="004F6DA8">
        <w:t>.</w:t>
      </w:r>
      <w:r>
        <w:t xml:space="preserve"> For this, the concept of “partial beam correspondence” </w:t>
      </w:r>
      <w:r w:rsidR="00B93544">
        <w:t xml:space="preserve">and the indication of such spatial relation information </w:t>
      </w:r>
      <w:r>
        <w:t>should be discussed. One example to realize this is for UE to report the number of SRS resources needed even UE reports positive beam correspondence support.</w:t>
      </w:r>
    </w:p>
    <w:p w14:paraId="31103755" w14:textId="4DB63FA7" w:rsidR="009B286C" w:rsidRPr="009B286C" w:rsidRDefault="009B286C" w:rsidP="009B286C">
      <w:pPr>
        <w:pStyle w:val="Caption"/>
      </w:pPr>
      <w:bookmarkStart w:id="6" w:name="_Ref525988307"/>
      <w:r>
        <w:t xml:space="preserve">Proposal </w:t>
      </w:r>
      <w:r w:rsidR="00461443">
        <w:t>2</w:t>
      </w:r>
      <w:r>
        <w:t>: U-3 procedure which allows UE local TX beam sweeping around a</w:t>
      </w:r>
      <w:r w:rsidR="00E744CF">
        <w:t>n</w:t>
      </w:r>
      <w:r>
        <w:t xml:space="preserve"> indicated spatial relation info</w:t>
      </w:r>
      <w:r w:rsidR="00E744CF">
        <w:t>rmation is supported for reducing</w:t>
      </w:r>
      <w:r>
        <w:t xml:space="preserve"> UL beam training overhead.</w:t>
      </w:r>
      <w:bookmarkEnd w:id="6"/>
    </w:p>
    <w:p w14:paraId="56277E3C" w14:textId="77777777" w:rsidR="004F6DA8" w:rsidRDefault="004F6DA8" w:rsidP="004F6DA8">
      <w:pPr>
        <w:spacing w:before="120"/>
        <w:jc w:val="center"/>
        <w:rPr>
          <w:bCs/>
          <w:lang w:val="en-GB" w:eastAsia="zh-TW"/>
        </w:rPr>
      </w:pPr>
      <w:r>
        <w:object w:dxaOrig="6166" w:dyaOrig="3856" w14:anchorId="726AD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9pt;height:133.8pt" o:ole="">
            <v:imagedata r:id="rId11" o:title=""/>
          </v:shape>
          <o:OLEObject Type="Embed" ProgID="Visio.Drawing.15" ShapeID="_x0000_i1025" DrawAspect="Content" ObjectID="_1611765051" r:id="rId12"/>
        </w:object>
      </w:r>
    </w:p>
    <w:p w14:paraId="4422B324" w14:textId="77777777" w:rsidR="004F6DA8" w:rsidRPr="004C696D" w:rsidRDefault="004F6DA8" w:rsidP="004F6DA8">
      <w:pPr>
        <w:pStyle w:val="Caption"/>
        <w:jc w:val="center"/>
        <w:rPr>
          <w:iCs/>
          <w:lang w:eastAsia="zh-TW"/>
        </w:rPr>
      </w:pPr>
      <w:bookmarkStart w:id="7" w:name="_Ref474148207"/>
      <w:r>
        <w:t xml:space="preserve">Figure </w:t>
      </w:r>
      <w:r>
        <w:fldChar w:fldCharType="begin"/>
      </w:r>
      <w:r>
        <w:instrText xml:space="preserve"> SEQ Figure \* ARABIC </w:instrText>
      </w:r>
      <w:r>
        <w:fldChar w:fldCharType="separate"/>
      </w:r>
      <w:r w:rsidR="004548FB">
        <w:rPr>
          <w:noProof/>
        </w:rPr>
        <w:t>2</w:t>
      </w:r>
      <w:r>
        <w:fldChar w:fldCharType="end"/>
      </w:r>
      <w:bookmarkEnd w:id="7"/>
      <w:r>
        <w:t>: UL local beam search conditioned on DL beam management results</w:t>
      </w:r>
    </w:p>
    <w:p w14:paraId="023F42C6" w14:textId="77777777" w:rsidR="00405C6C" w:rsidRPr="007F3E0D" w:rsidRDefault="00EB0778" w:rsidP="00405C6C">
      <w:pPr>
        <w:pStyle w:val="Heading1"/>
        <w:numPr>
          <w:ilvl w:val="0"/>
          <w:numId w:val="1"/>
        </w:numPr>
        <w:rPr>
          <w:rFonts w:eastAsia="MS Mincho" w:cs="Arial"/>
          <w:b/>
          <w:sz w:val="32"/>
          <w:szCs w:val="32"/>
          <w:lang w:val="en-US"/>
        </w:rPr>
      </w:pPr>
      <w:r w:rsidRPr="007F3E0D">
        <w:rPr>
          <w:rFonts w:eastAsia="MS Mincho" w:cs="Arial"/>
          <w:b/>
          <w:sz w:val="32"/>
          <w:szCs w:val="32"/>
          <w:lang w:val="en-US"/>
        </w:rPr>
        <w:t>Beam failure recovery on SCell</w:t>
      </w:r>
    </w:p>
    <w:p w14:paraId="236B1EAA" w14:textId="77777777" w:rsidR="00864672" w:rsidRDefault="00864672" w:rsidP="00864672"/>
    <w:p w14:paraId="5F841FBF" w14:textId="15A4BD80" w:rsidR="00864672" w:rsidRDefault="00864672" w:rsidP="00864672">
      <w:r>
        <w:t xml:space="preserve">At the NR Ad Hoc meeting in Taipei, the following </w:t>
      </w:r>
      <w:r w:rsidR="00C127A3">
        <w:t>was agreed</w:t>
      </w:r>
      <w:r>
        <w:t xml:space="preserve"> concerning scenarios for SCell BFR:</w:t>
      </w:r>
    </w:p>
    <w:p w14:paraId="680F02E6" w14:textId="77777777" w:rsidR="00864672" w:rsidRDefault="00864672" w:rsidP="00864672"/>
    <w:p w14:paraId="1F3CF35B" w14:textId="77777777" w:rsidR="00864672" w:rsidRPr="00995BB9" w:rsidRDefault="00864672" w:rsidP="00864672">
      <w:pPr>
        <w:rPr>
          <w:b/>
          <w:highlight w:val="green"/>
          <w:lang w:eastAsia="x-none"/>
        </w:rPr>
      </w:pPr>
      <w:r w:rsidRPr="00995BB9">
        <w:rPr>
          <w:b/>
          <w:highlight w:val="green"/>
          <w:lang w:eastAsia="x-none"/>
        </w:rPr>
        <w:t>Agreement</w:t>
      </w:r>
    </w:p>
    <w:p w14:paraId="0050AF5F" w14:textId="77777777" w:rsidR="00864672" w:rsidRPr="00922A52" w:rsidRDefault="00864672" w:rsidP="00864672">
      <w:pPr>
        <w:pStyle w:val="ListParagraph"/>
        <w:ind w:left="0"/>
        <w:jc w:val="both"/>
      </w:pPr>
      <w:r w:rsidRPr="00922A52">
        <w:t>For SCell BFR</w:t>
      </w:r>
    </w:p>
    <w:p w14:paraId="326483AA" w14:textId="77777777" w:rsidR="00864672" w:rsidRPr="00922A52" w:rsidRDefault="00864672" w:rsidP="00864672">
      <w:pPr>
        <w:pStyle w:val="ListParagraph"/>
        <w:numPr>
          <w:ilvl w:val="0"/>
          <w:numId w:val="32"/>
        </w:numPr>
        <w:spacing w:after="0"/>
        <w:contextualSpacing/>
        <w:jc w:val="both"/>
        <w:rPr>
          <w:rFonts w:eastAsia="SimSun"/>
        </w:rPr>
      </w:pPr>
      <w:r w:rsidRPr="00922A52">
        <w:rPr>
          <w:rFonts w:eastAsia="SimSun"/>
        </w:rPr>
        <w:t>Decide BFRQ solution for BFR on SCell with DL only first, PCell in FR1+FR2</w:t>
      </w:r>
    </w:p>
    <w:p w14:paraId="551BD46B" w14:textId="77777777" w:rsidR="00864672" w:rsidRPr="00995BB9" w:rsidRDefault="00864672" w:rsidP="00864672">
      <w:pPr>
        <w:pStyle w:val="ListParagraph"/>
        <w:numPr>
          <w:ilvl w:val="0"/>
          <w:numId w:val="32"/>
        </w:numPr>
        <w:spacing w:after="0"/>
        <w:contextualSpacing/>
        <w:jc w:val="both"/>
      </w:pPr>
      <w:r w:rsidRPr="00922A52">
        <w:rPr>
          <w:rFonts w:eastAsia="SimSun"/>
        </w:rPr>
        <w:t>Above is to facilitate RAN1 discussion but not to prioritize certain scenarios</w:t>
      </w:r>
    </w:p>
    <w:p w14:paraId="170B154D" w14:textId="77777777" w:rsidR="00864672" w:rsidRDefault="00864672" w:rsidP="00864672"/>
    <w:p w14:paraId="3BAE0794" w14:textId="60FE8910" w:rsidR="00864672" w:rsidRDefault="00864672" w:rsidP="00864672">
      <w:pPr>
        <w:jc w:val="both"/>
        <w:rPr>
          <w:b/>
          <w:highlight w:val="green"/>
        </w:rPr>
      </w:pPr>
      <w:r>
        <w:t xml:space="preserve">Relevant to the information conveyed by BFRQ, the following was agreed: </w:t>
      </w:r>
    </w:p>
    <w:p w14:paraId="3DFDBC5E" w14:textId="77777777" w:rsidR="00864672" w:rsidRPr="00155A5B" w:rsidRDefault="00864672" w:rsidP="00864672">
      <w:pPr>
        <w:jc w:val="both"/>
        <w:rPr>
          <w:b/>
          <w:highlight w:val="green"/>
        </w:rPr>
      </w:pPr>
      <w:r w:rsidRPr="00155A5B">
        <w:rPr>
          <w:b/>
          <w:highlight w:val="green"/>
        </w:rPr>
        <w:t>Agreement</w:t>
      </w:r>
    </w:p>
    <w:p w14:paraId="4A303279" w14:textId="77777777" w:rsidR="00864672" w:rsidRPr="00155A5B" w:rsidRDefault="00864672" w:rsidP="00864672">
      <w:pPr>
        <w:pStyle w:val="ListParagraph"/>
        <w:ind w:left="0"/>
        <w:jc w:val="both"/>
      </w:pPr>
      <w:r w:rsidRPr="00155A5B">
        <w:t>Specification support will be provided for gNB to derive at least the failed CC index during SCell BFR procedure</w:t>
      </w:r>
    </w:p>
    <w:p w14:paraId="360D1B02"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lastRenderedPageBreak/>
        <w:t>FFS: Whether the information is implicitly derived or explicitly conveyed by the UE</w:t>
      </w:r>
    </w:p>
    <w:p w14:paraId="2FD1E768"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t>FFS: Whether new beam information should be included</w:t>
      </w:r>
    </w:p>
    <w:p w14:paraId="22A745CB"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t>FFS: Details on triggering for transmitting BFRQ</w:t>
      </w:r>
    </w:p>
    <w:p w14:paraId="062D3B64" w14:textId="77777777" w:rsidR="00864672" w:rsidRDefault="00864672" w:rsidP="00864672">
      <w:pPr>
        <w:jc w:val="both"/>
        <w:rPr>
          <w:b/>
          <w:highlight w:val="green"/>
        </w:rPr>
      </w:pPr>
    </w:p>
    <w:p w14:paraId="104C191D" w14:textId="66564DE3" w:rsidR="00864672" w:rsidRDefault="00864672" w:rsidP="00864672">
      <w:pPr>
        <w:jc w:val="both"/>
        <w:rPr>
          <w:b/>
          <w:highlight w:val="green"/>
        </w:rPr>
      </w:pPr>
      <w:r>
        <w:t xml:space="preserve">The following alternatives were enumerated for the reference signal for Scell BFD: </w:t>
      </w:r>
    </w:p>
    <w:p w14:paraId="526C2056" w14:textId="77777777" w:rsidR="00864672" w:rsidRPr="00155A5B" w:rsidRDefault="00864672" w:rsidP="00864672">
      <w:pPr>
        <w:jc w:val="both"/>
        <w:rPr>
          <w:b/>
          <w:highlight w:val="green"/>
        </w:rPr>
      </w:pPr>
      <w:r w:rsidRPr="00155A5B">
        <w:rPr>
          <w:b/>
          <w:highlight w:val="green"/>
        </w:rPr>
        <w:t>Agreement</w:t>
      </w:r>
    </w:p>
    <w:p w14:paraId="192162EE"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t xml:space="preserve">SCell BFD is based on periodic 1-port CSI-RS, which can be configured explicitly by RRC or implicitly by TCI state. </w:t>
      </w:r>
    </w:p>
    <w:p w14:paraId="30DCF637"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t>Down-select one of the following alternatives in RAN1#96:</w:t>
      </w:r>
    </w:p>
    <w:p w14:paraId="27DE66D6"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1: SCell BFD RS is in current CC</w:t>
      </w:r>
    </w:p>
    <w:p w14:paraId="1A1BE4D4"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2: SCell BFD RS is in current CC for explicit configuration and can be in current CC or another CC for implicit configuration</w:t>
      </w:r>
    </w:p>
    <w:p w14:paraId="3B265EA0"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3: SCell BFD RS can be in current CC or another CC for both explicit and implicit configuration</w:t>
      </w:r>
    </w:p>
    <w:p w14:paraId="4A08F026" w14:textId="77777777" w:rsidR="00864672" w:rsidRDefault="00864672" w:rsidP="00864672">
      <w:pPr>
        <w:pStyle w:val="ListParagraph"/>
        <w:numPr>
          <w:ilvl w:val="0"/>
          <w:numId w:val="32"/>
        </w:numPr>
        <w:spacing w:after="0"/>
        <w:contextualSpacing/>
        <w:jc w:val="both"/>
        <w:rPr>
          <w:rFonts w:eastAsia="SimSun"/>
        </w:rPr>
      </w:pPr>
      <w:r w:rsidRPr="00155A5B">
        <w:rPr>
          <w:rFonts w:eastAsia="SimSun"/>
        </w:rPr>
        <w:t>SCell BFD is measured based on hypothetical BLER</w:t>
      </w:r>
    </w:p>
    <w:p w14:paraId="53F1BB58" w14:textId="77777777" w:rsidR="00864672" w:rsidRDefault="00864672" w:rsidP="00864672">
      <w:pPr>
        <w:contextualSpacing/>
        <w:jc w:val="both"/>
        <w:rPr>
          <w:rFonts w:eastAsia="SimSun"/>
        </w:rPr>
      </w:pPr>
    </w:p>
    <w:p w14:paraId="17F6E6F7" w14:textId="74CBDAA6" w:rsidR="00864672" w:rsidRDefault="00864672" w:rsidP="00864672">
      <w:pPr>
        <w:rPr>
          <w:b/>
          <w:highlight w:val="green"/>
          <w:lang w:eastAsia="x-none"/>
        </w:rPr>
      </w:pPr>
      <w:r>
        <w:t>Further, the condition for BFRQ was covered by the following:</w:t>
      </w:r>
    </w:p>
    <w:p w14:paraId="7BACFB21" w14:textId="77777777" w:rsidR="00864672" w:rsidRPr="001211C4" w:rsidRDefault="00864672" w:rsidP="00864672">
      <w:pPr>
        <w:rPr>
          <w:b/>
          <w:highlight w:val="green"/>
          <w:lang w:eastAsia="x-none"/>
        </w:rPr>
      </w:pPr>
      <w:r w:rsidRPr="001211C4">
        <w:rPr>
          <w:b/>
          <w:highlight w:val="green"/>
          <w:lang w:eastAsia="x-none"/>
        </w:rPr>
        <w:t>Agreement</w:t>
      </w:r>
    </w:p>
    <w:p w14:paraId="362B0ADD" w14:textId="77777777" w:rsidR="00864672" w:rsidRPr="00922A52" w:rsidRDefault="00864672" w:rsidP="00864672">
      <w:pPr>
        <w:pStyle w:val="ListParagraph"/>
        <w:ind w:left="0"/>
        <w:jc w:val="both"/>
      </w:pPr>
      <w:r w:rsidRPr="00922A52">
        <w:t>Down-select at least one of the following alternatives:</w:t>
      </w:r>
    </w:p>
    <w:p w14:paraId="2C4C8D17" w14:textId="77777777" w:rsidR="00864672" w:rsidRPr="00922A52" w:rsidRDefault="00864672" w:rsidP="00864672">
      <w:pPr>
        <w:pStyle w:val="ListParagraph"/>
        <w:numPr>
          <w:ilvl w:val="0"/>
          <w:numId w:val="32"/>
        </w:numPr>
        <w:spacing w:after="0"/>
        <w:contextualSpacing/>
        <w:jc w:val="both"/>
        <w:rPr>
          <w:rFonts w:eastAsia="SimSun"/>
        </w:rPr>
      </w:pPr>
      <w:r w:rsidRPr="00922A52">
        <w:rPr>
          <w:rFonts w:eastAsia="SimSun"/>
        </w:rPr>
        <w:t>Alt 1: For SCell BFR, BFRQ can be transmitted if UE declares beam failure and identifies a new candidate beam.</w:t>
      </w:r>
    </w:p>
    <w:p w14:paraId="0FCD65CE" w14:textId="77777777" w:rsidR="00864672" w:rsidRPr="00922A52" w:rsidRDefault="00864672" w:rsidP="00864672">
      <w:pPr>
        <w:pStyle w:val="ListParagraph"/>
        <w:numPr>
          <w:ilvl w:val="1"/>
          <w:numId w:val="33"/>
        </w:numPr>
        <w:spacing w:after="0"/>
        <w:jc w:val="both"/>
      </w:pPr>
      <w:r w:rsidRPr="00922A52">
        <w:t>UE reports new beam information by or after BFRQ</w:t>
      </w:r>
    </w:p>
    <w:p w14:paraId="55C73706" w14:textId="77777777" w:rsidR="00864672" w:rsidRPr="00922A52" w:rsidRDefault="00864672" w:rsidP="00864672">
      <w:pPr>
        <w:pStyle w:val="ListParagraph"/>
        <w:numPr>
          <w:ilvl w:val="0"/>
          <w:numId w:val="32"/>
        </w:numPr>
        <w:spacing w:after="0"/>
        <w:contextualSpacing/>
        <w:jc w:val="both"/>
        <w:rPr>
          <w:rFonts w:eastAsia="SimSun"/>
        </w:rPr>
      </w:pPr>
      <w:r w:rsidRPr="00922A52">
        <w:rPr>
          <w:rFonts w:eastAsia="SimSun"/>
        </w:rPr>
        <w:t>Alt 2: For SCell BFR, BFRQ can be transmitted if UE declares beam failure.</w:t>
      </w:r>
    </w:p>
    <w:p w14:paraId="5696BAF1" w14:textId="77777777" w:rsidR="00864672" w:rsidRPr="00922A52" w:rsidRDefault="00864672" w:rsidP="00864672">
      <w:pPr>
        <w:pStyle w:val="ListParagraph"/>
        <w:numPr>
          <w:ilvl w:val="1"/>
          <w:numId w:val="33"/>
        </w:numPr>
        <w:spacing w:after="0"/>
        <w:jc w:val="both"/>
      </w:pPr>
      <w:r w:rsidRPr="00922A52">
        <w:t>UE only indicates beam failure happens by BFRQ</w:t>
      </w:r>
    </w:p>
    <w:p w14:paraId="6F8EA09D" w14:textId="77777777" w:rsidR="00864672" w:rsidRPr="00922A52" w:rsidRDefault="00864672" w:rsidP="00864672">
      <w:pPr>
        <w:pStyle w:val="ListParagraph"/>
        <w:numPr>
          <w:ilvl w:val="1"/>
          <w:numId w:val="33"/>
        </w:numPr>
        <w:spacing w:after="0"/>
        <w:jc w:val="both"/>
      </w:pPr>
      <w:r w:rsidRPr="00922A52">
        <w:t>Note: new beam identification can be done by using DL BM procedure</w:t>
      </w:r>
    </w:p>
    <w:p w14:paraId="4DB4AAE9" w14:textId="77777777" w:rsidR="00864672" w:rsidRPr="00922A52" w:rsidRDefault="00864672" w:rsidP="00864672">
      <w:pPr>
        <w:pStyle w:val="ListParagraph"/>
        <w:numPr>
          <w:ilvl w:val="0"/>
          <w:numId w:val="32"/>
        </w:numPr>
        <w:spacing w:after="0"/>
        <w:contextualSpacing/>
        <w:jc w:val="both"/>
        <w:rPr>
          <w:rFonts w:eastAsia="SimSun"/>
        </w:rPr>
      </w:pPr>
      <w:r w:rsidRPr="00922A52">
        <w:rPr>
          <w:rFonts w:eastAsia="SimSun"/>
        </w:rPr>
        <w:t>Alt 3: For SCell BFR, BFRQ can be transmitted if UE declares beam failure</w:t>
      </w:r>
    </w:p>
    <w:p w14:paraId="270D7A7F" w14:textId="77777777" w:rsidR="00864672" w:rsidRPr="00922A52" w:rsidRDefault="00864672" w:rsidP="00864672">
      <w:pPr>
        <w:pStyle w:val="ListParagraph"/>
        <w:numPr>
          <w:ilvl w:val="1"/>
          <w:numId w:val="33"/>
        </w:numPr>
        <w:spacing w:after="0"/>
        <w:jc w:val="both"/>
      </w:pPr>
      <w:r w:rsidRPr="00922A52">
        <w:t xml:space="preserve">UE may report new beam information during BFR procedure </w:t>
      </w:r>
    </w:p>
    <w:p w14:paraId="4B212969" w14:textId="77777777" w:rsidR="00864672" w:rsidRPr="00922A52" w:rsidRDefault="00864672" w:rsidP="00864672">
      <w:pPr>
        <w:pStyle w:val="ListParagraph"/>
        <w:numPr>
          <w:ilvl w:val="1"/>
          <w:numId w:val="33"/>
        </w:numPr>
        <w:spacing w:after="0"/>
        <w:jc w:val="both"/>
      </w:pPr>
      <w:r w:rsidRPr="00922A52">
        <w:t>FFS: impact of new beam identification threshold</w:t>
      </w:r>
    </w:p>
    <w:p w14:paraId="523E81BA" w14:textId="77777777" w:rsidR="00864672" w:rsidRPr="00922A52" w:rsidRDefault="00864672" w:rsidP="00864672">
      <w:pPr>
        <w:pStyle w:val="ListParagraph"/>
        <w:numPr>
          <w:ilvl w:val="0"/>
          <w:numId w:val="32"/>
        </w:numPr>
        <w:spacing w:after="0"/>
        <w:contextualSpacing/>
        <w:jc w:val="both"/>
        <w:rPr>
          <w:rFonts w:eastAsia="SimSun"/>
        </w:rPr>
      </w:pPr>
      <w:r w:rsidRPr="00922A52">
        <w:rPr>
          <w:rFonts w:eastAsia="SimSun"/>
        </w:rPr>
        <w:t>Note: It is up to UE whether to do beam failure detection and new beam identification in parallel or not</w:t>
      </w:r>
    </w:p>
    <w:p w14:paraId="43039B94" w14:textId="77777777" w:rsidR="00864672" w:rsidRPr="00922A52" w:rsidRDefault="00864672" w:rsidP="00864672">
      <w:pPr>
        <w:pStyle w:val="ListParagraph"/>
        <w:numPr>
          <w:ilvl w:val="0"/>
          <w:numId w:val="32"/>
        </w:numPr>
        <w:spacing w:after="0"/>
        <w:contextualSpacing/>
        <w:jc w:val="both"/>
        <w:rPr>
          <w:rFonts w:eastAsia="SimSun"/>
        </w:rPr>
      </w:pPr>
      <w:r w:rsidRPr="00922A52">
        <w:rPr>
          <w:rFonts w:eastAsia="SimSun"/>
        </w:rPr>
        <w:t>For Alt1 and Alt3, reference signals for new candidate DL beam(s) are configured, which are based on CSI-RS and/or SSB.</w:t>
      </w:r>
    </w:p>
    <w:p w14:paraId="7C7462E4" w14:textId="77777777" w:rsidR="00864672" w:rsidRPr="00922A52" w:rsidRDefault="00864672" w:rsidP="00864672">
      <w:pPr>
        <w:pStyle w:val="ListParagraph"/>
        <w:numPr>
          <w:ilvl w:val="1"/>
          <w:numId w:val="33"/>
        </w:numPr>
        <w:spacing w:after="0"/>
        <w:jc w:val="both"/>
      </w:pPr>
      <w:r w:rsidRPr="00922A52">
        <w:t>FFS: whether the CSI-RS and/or SSB can be in another CC</w:t>
      </w:r>
    </w:p>
    <w:p w14:paraId="1802B4C6" w14:textId="77777777" w:rsidR="00864672" w:rsidRPr="00922A52" w:rsidRDefault="00864672" w:rsidP="00864672">
      <w:pPr>
        <w:pStyle w:val="ListParagraph"/>
        <w:numPr>
          <w:ilvl w:val="1"/>
          <w:numId w:val="33"/>
        </w:numPr>
        <w:spacing w:after="0"/>
        <w:jc w:val="both"/>
      </w:pPr>
      <w:r w:rsidRPr="00922A52">
        <w:t>FFS: signaling details, e.g. RRC and/or MAC CE</w:t>
      </w:r>
    </w:p>
    <w:p w14:paraId="3ADDD1CB" w14:textId="77777777" w:rsidR="00864672" w:rsidRDefault="00864672" w:rsidP="00864672">
      <w:pPr>
        <w:rPr>
          <w:lang w:eastAsia="x-none"/>
        </w:rPr>
      </w:pPr>
    </w:p>
    <w:p w14:paraId="4FF15F79" w14:textId="77777777" w:rsidR="005A3426" w:rsidRDefault="00337BA4" w:rsidP="00303A00">
      <w:r>
        <w:t>For proper design</w:t>
      </w:r>
      <w:r w:rsidR="00846C23">
        <w:t>ing</w:t>
      </w:r>
      <w:r>
        <w:t xml:space="preserve"> SCell BFR, scenarios to be supported should first be </w:t>
      </w:r>
      <w:r w:rsidR="00CA2978">
        <w:t>discussed</w:t>
      </w:r>
      <w:r>
        <w:t>.</w:t>
      </w:r>
      <w:r w:rsidR="005A3426">
        <w:t xml:space="preserve"> Additionally, in Rel-15, contention-based random access (CBRA) is used as fallback mechanism for beam failure recovery. Since only PCell is configured with CBRA resources, whether or not to support fallback mode BFR on SCell needs to be discussed.</w:t>
      </w:r>
    </w:p>
    <w:p w14:paraId="79E891FA" w14:textId="77777777" w:rsidR="00474829" w:rsidRDefault="004635A2" w:rsidP="004635A2">
      <w:pPr>
        <w:pStyle w:val="Heading2"/>
        <w:numPr>
          <w:ilvl w:val="1"/>
          <w:numId w:val="1"/>
        </w:numPr>
      </w:pPr>
      <w:r>
        <w:t>FR1 PCell + FR2 SCell</w:t>
      </w:r>
    </w:p>
    <w:p w14:paraId="6A351FAD" w14:textId="77777777" w:rsidR="005A3426" w:rsidRDefault="005A3426" w:rsidP="005A3426">
      <w:r>
        <w:t xml:space="preserve">For initial </w:t>
      </w:r>
      <w:r w:rsidR="00B76F97">
        <w:t xml:space="preserve">NR </w:t>
      </w:r>
      <w:r>
        <w:t>deployment, FR1 PCell + FR2 SCell seems the main scenario for SCell BFR and should be considered with priority. Apparently, anchoring RRC connection on FR1 PCell is beneficial for the cases where FR2 SCell is for e.g., hot-spot type of deployment with low UE mobility.</w:t>
      </w:r>
    </w:p>
    <w:p w14:paraId="130D136E" w14:textId="77777777" w:rsidR="005A3426" w:rsidRDefault="00F532A1" w:rsidP="004635A2">
      <w:r>
        <w:t>FR2 SCell BFR design can assume a straightforward application of Rel-15 BFR design</w:t>
      </w:r>
      <w:r w:rsidR="000C1AC6">
        <w:t>, if only contention-free PRACH</w:t>
      </w:r>
      <w:r w:rsidR="00DA2808">
        <w:t xml:space="preserve"> channel is used. As there is no CBRA resource on SCell, no fallback mode BFR on SCell based on current spec</w:t>
      </w:r>
      <w:r w:rsidR="00B76F97">
        <w:t xml:space="preserve"> is applicable</w:t>
      </w:r>
      <w:r w:rsidR="00DA2808">
        <w:t xml:space="preserve">. </w:t>
      </w:r>
      <w:r w:rsidR="00B76F97">
        <w:t>Since</w:t>
      </w:r>
      <w:r w:rsidR="00DA2808">
        <w:t xml:space="preserve"> Rel-15 fallback mode BFR intends to provide a more robust BFR scheme </w:t>
      </w:r>
      <w:r w:rsidR="00DA2808">
        <w:lastRenderedPageBreak/>
        <w:t>than i</w:t>
      </w:r>
      <w:r w:rsidR="00B76F97">
        <w:t>ts contention-free counterpart, it is beneficial to have similar mechanism.</w:t>
      </w:r>
      <w:r w:rsidR="00CA2978">
        <w:t xml:space="preserve"> It should also be noted that in Rel-15 design, fallback mode always exists as long as there is CF-PRACH based BFR.</w:t>
      </w:r>
    </w:p>
    <w:p w14:paraId="77AF25CB" w14:textId="77777777" w:rsidR="00B76F97" w:rsidRDefault="00B76F97" w:rsidP="004635A2">
      <w:r>
        <w:t>Two alternatives can be studied for SCell BFR fallback design:</w:t>
      </w:r>
    </w:p>
    <w:p w14:paraId="1549DDDA" w14:textId="77777777" w:rsidR="00B76F97" w:rsidRDefault="00B76F97" w:rsidP="00B76F97">
      <w:pPr>
        <w:numPr>
          <w:ilvl w:val="0"/>
          <w:numId w:val="15"/>
        </w:numPr>
      </w:pPr>
      <w:r>
        <w:t>CBRA on SCell: in this case, CBRA resources are configu</w:t>
      </w:r>
      <w:r w:rsidR="003A6AAC">
        <w:t xml:space="preserve">red on SCell. Since CBRA SCell is not supported for any other purposes, CBRA resources on SCell </w:t>
      </w:r>
      <w:r w:rsidR="00CA2978">
        <w:t xml:space="preserve">is </w:t>
      </w:r>
      <w:r w:rsidR="003A6AAC">
        <w:t>dedicated for BFR only</w:t>
      </w:r>
      <w:r w:rsidR="00CA2978">
        <w:t>.</w:t>
      </w:r>
    </w:p>
    <w:p w14:paraId="4DD0A679" w14:textId="77777777" w:rsidR="003A6AAC" w:rsidRDefault="003A6AAC" w:rsidP="00B76F97">
      <w:pPr>
        <w:numPr>
          <w:ilvl w:val="0"/>
          <w:numId w:val="15"/>
        </w:numPr>
      </w:pPr>
      <w:r>
        <w:t>CBRA on PCell: CBRA resources configured on PCell are reused (or partially reserved) for SCell BFR purpose. In this case, additional study on what message to carry in BFRQ and on which cell to send NW response is needed.</w:t>
      </w:r>
    </w:p>
    <w:p w14:paraId="588F4539" w14:textId="3F1FA8DE" w:rsidR="003A6AAC" w:rsidRPr="00AA0B1D" w:rsidRDefault="003A6AAC" w:rsidP="003A6AAC">
      <w:pPr>
        <w:pStyle w:val="Caption"/>
        <w:rPr>
          <w:lang w:val="en-US"/>
        </w:rPr>
      </w:pPr>
      <w:bookmarkStart w:id="8" w:name="_Ref525988384"/>
      <w:r w:rsidRPr="00AA0B1D">
        <w:t xml:space="preserve">Observation </w:t>
      </w:r>
      <w:r w:rsidRPr="00AA0B1D">
        <w:fldChar w:fldCharType="begin"/>
      </w:r>
      <w:r w:rsidRPr="00AA0B1D">
        <w:instrText xml:space="preserve"> SEQ Observation \* ARABIC </w:instrText>
      </w:r>
      <w:r w:rsidRPr="00AA0B1D">
        <w:fldChar w:fldCharType="separate"/>
      </w:r>
      <w:r w:rsidR="004548FB">
        <w:rPr>
          <w:noProof/>
        </w:rPr>
        <w:t>3</w:t>
      </w:r>
      <w:r w:rsidRPr="00AA0B1D">
        <w:fldChar w:fldCharType="end"/>
      </w:r>
      <w:r w:rsidRPr="00AA0B1D">
        <w:t>: Contention-based BFR on SCell provides better robustness for link recovery.</w:t>
      </w:r>
      <w:bookmarkEnd w:id="8"/>
    </w:p>
    <w:p w14:paraId="0B5F90AC" w14:textId="34D4EB9F" w:rsidR="003A6AAC" w:rsidRDefault="003A6AAC" w:rsidP="003A6AAC">
      <w:pPr>
        <w:pStyle w:val="Caption"/>
      </w:pPr>
      <w:bookmarkStart w:id="9" w:name="_Ref525988309"/>
      <w:r>
        <w:t xml:space="preserve">Proposal </w:t>
      </w:r>
      <w:r w:rsidR="00461443">
        <w:t>3</w:t>
      </w:r>
      <w:r>
        <w:t xml:space="preserve">: To provide a contention-based BFR on SCell as fallback mode, </w:t>
      </w:r>
      <w:r w:rsidR="00AA0B1D">
        <w:t>discuss between</w:t>
      </w:r>
      <w:r>
        <w:t xml:space="preserve"> the following two alternatives: 1) CBRA on SCell, 2) CBRA on PCell.</w:t>
      </w:r>
      <w:bookmarkEnd w:id="9"/>
    </w:p>
    <w:p w14:paraId="6C3DDEB6" w14:textId="4B900B3D" w:rsidR="004635A2" w:rsidRDefault="00E77D28" w:rsidP="004635A2">
      <w:pPr>
        <w:pStyle w:val="Heading2"/>
        <w:numPr>
          <w:ilvl w:val="1"/>
          <w:numId w:val="1"/>
        </w:numPr>
      </w:pPr>
      <w:r>
        <w:t>FR1</w:t>
      </w:r>
      <w:r w:rsidR="00864672">
        <w:t>/FR2</w:t>
      </w:r>
      <w:r>
        <w:t xml:space="preserve"> PCell + FR2 </w:t>
      </w:r>
      <w:r w:rsidR="004635A2">
        <w:t xml:space="preserve">DL-only SCell </w:t>
      </w:r>
    </w:p>
    <w:p w14:paraId="1C95F038" w14:textId="1012E2D0" w:rsidR="005A3426" w:rsidRDefault="005A3426" w:rsidP="005A3426">
      <w:r>
        <w:t>Another meaningful scenario can be FR1</w:t>
      </w:r>
      <w:r w:rsidR="00864672">
        <w:t>/FR2</w:t>
      </w:r>
      <w:r>
        <w:t xml:space="preserve"> PCell + FR2 DL-only SCell. With wider bandwidth in FR2, the throughput is expected much higher than what sub-6 GHz band can provide. Applications that </w:t>
      </w:r>
      <w:r w:rsidR="00130ED8">
        <w:t>require such</w:t>
      </w:r>
      <w:r>
        <w:t xml:space="preserve"> high DL throughput support can be enumerate</w:t>
      </w:r>
      <w:r w:rsidR="00AA0B1D">
        <w:t>d relative</w:t>
      </w:r>
      <w:r w:rsidR="00E20FB0">
        <w:t xml:space="preserve"> easily when compared with</w:t>
      </w:r>
      <w:r>
        <w:t xml:space="preserve"> its UL counterpart. In addition, FR2 UL faces challenges such as PA </w:t>
      </w:r>
      <w:r w:rsidR="00E20FB0">
        <w:t>power consumption,</w:t>
      </w:r>
      <w:r>
        <w:t xml:space="preserve"> heat dissipation</w:t>
      </w:r>
      <w:r w:rsidR="00E20FB0">
        <w:t xml:space="preserve"> etc.</w:t>
      </w:r>
      <w:r w:rsidR="00BA76A1">
        <w:t xml:space="preserve"> at UE</w:t>
      </w:r>
      <w:r>
        <w:t xml:space="preserve">. </w:t>
      </w:r>
      <w:r w:rsidR="00BA76A1">
        <w:t>By i</w:t>
      </w:r>
      <w:r>
        <w:t>gnoring UL when it is not necessary, user experience can be increase</w:t>
      </w:r>
      <w:r w:rsidR="00E20FB0">
        <w:t>d</w:t>
      </w:r>
      <w:r>
        <w:t xml:space="preserve"> from those aspects, not to mentioned relieved UE implementation complexity.</w:t>
      </w:r>
    </w:p>
    <w:p w14:paraId="72E8E58B" w14:textId="18246272" w:rsidR="00864672" w:rsidRDefault="00864672" w:rsidP="00864672">
      <w:pPr>
        <w:jc w:val="both"/>
      </w:pPr>
      <w:r>
        <w:t xml:space="preserve">At the Taipei meeting, </w:t>
      </w:r>
      <w:r w:rsidR="00461443">
        <w:t>the following was agreed:</w:t>
      </w:r>
    </w:p>
    <w:p w14:paraId="1A62811B" w14:textId="6BBB0387" w:rsidR="00864672" w:rsidRPr="00155A5B" w:rsidRDefault="00864672" w:rsidP="00864672">
      <w:pPr>
        <w:jc w:val="both"/>
        <w:rPr>
          <w:b/>
          <w:highlight w:val="green"/>
        </w:rPr>
      </w:pPr>
      <w:r w:rsidRPr="00155A5B">
        <w:rPr>
          <w:b/>
          <w:highlight w:val="green"/>
        </w:rPr>
        <w:t>Agreement</w:t>
      </w:r>
    </w:p>
    <w:p w14:paraId="4FFFABF2"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t xml:space="preserve">SCell BFD is based on periodic 1-port CSI-RS, which can be configured explicitly by RRC or implicitly by TCI state. </w:t>
      </w:r>
    </w:p>
    <w:p w14:paraId="1E74332A" w14:textId="77777777" w:rsidR="00864672" w:rsidRPr="00155A5B" w:rsidRDefault="00864672" w:rsidP="00864672">
      <w:pPr>
        <w:pStyle w:val="ListParagraph"/>
        <w:numPr>
          <w:ilvl w:val="0"/>
          <w:numId w:val="32"/>
        </w:numPr>
        <w:spacing w:after="0"/>
        <w:contextualSpacing/>
        <w:jc w:val="both"/>
        <w:rPr>
          <w:rFonts w:eastAsia="SimSun"/>
        </w:rPr>
      </w:pPr>
      <w:r w:rsidRPr="00155A5B">
        <w:rPr>
          <w:rFonts w:eastAsia="SimSun"/>
        </w:rPr>
        <w:t>Down-select one of the following alternatives in RAN1#96:</w:t>
      </w:r>
    </w:p>
    <w:p w14:paraId="6ADB9A56"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1: SCell BFD RS is in current CC</w:t>
      </w:r>
    </w:p>
    <w:p w14:paraId="05BCCB68"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2: SCell BFD RS is in current CC for explicit configuration and can be in current CC or another CC for implicit configuration</w:t>
      </w:r>
    </w:p>
    <w:p w14:paraId="36D4197E" w14:textId="77777777" w:rsidR="00864672" w:rsidRPr="00155A5B" w:rsidRDefault="00864672" w:rsidP="00864672">
      <w:pPr>
        <w:pStyle w:val="ListParagraph"/>
        <w:numPr>
          <w:ilvl w:val="1"/>
          <w:numId w:val="32"/>
        </w:numPr>
        <w:spacing w:after="0"/>
        <w:contextualSpacing/>
        <w:jc w:val="both"/>
        <w:rPr>
          <w:rFonts w:eastAsia="SimSun"/>
        </w:rPr>
      </w:pPr>
      <w:r w:rsidRPr="00155A5B">
        <w:rPr>
          <w:rFonts w:eastAsia="SimSun"/>
        </w:rPr>
        <w:t>Alt 3: SCell BFD RS can be in current CC or another CC for both explicit and implicit configuration</w:t>
      </w:r>
    </w:p>
    <w:p w14:paraId="01E2BFE8" w14:textId="77777777" w:rsidR="00864672" w:rsidRDefault="00864672" w:rsidP="00864672">
      <w:pPr>
        <w:pStyle w:val="ListParagraph"/>
        <w:numPr>
          <w:ilvl w:val="0"/>
          <w:numId w:val="32"/>
        </w:numPr>
        <w:spacing w:after="0"/>
        <w:contextualSpacing/>
        <w:jc w:val="both"/>
        <w:rPr>
          <w:rFonts w:eastAsia="SimSun"/>
        </w:rPr>
      </w:pPr>
      <w:r w:rsidRPr="00155A5B">
        <w:rPr>
          <w:rFonts w:eastAsia="SimSun"/>
        </w:rPr>
        <w:t>SCell BFD is measured based on hypothetical BLER</w:t>
      </w:r>
    </w:p>
    <w:p w14:paraId="55AF0B88" w14:textId="375A32FA" w:rsidR="00864672" w:rsidRDefault="00864672" w:rsidP="005A3426"/>
    <w:p w14:paraId="596084E6" w14:textId="41F21EA2" w:rsidR="00864672" w:rsidRDefault="00864672" w:rsidP="005A3426">
      <w:r>
        <w:t xml:space="preserve">We first consider the case that all CCs belong to the same band. Two or more DL only SCells from the same band can be aggregated to provide even higher throughput than a single </w:t>
      </w:r>
      <w:r w:rsidR="0092069E">
        <w:t>CC</w:t>
      </w:r>
      <w:r>
        <w:t>. In this case, performing BFD on a single CC</w:t>
      </w:r>
      <w:r w:rsidR="0092069E">
        <w:t xml:space="preserve"> in the band</w:t>
      </w:r>
      <w:r>
        <w:t xml:space="preserve"> is enough. While BFRQ is for a specific CC, it is reasonable to assume the BFD condition is similar across CCs in the same band. In any case, CCs within a band can be divided into CC groups</w:t>
      </w:r>
      <w:r w:rsidR="008755BF">
        <w:t xml:space="preserve"> and such division can be carried a specification-transparent way</w:t>
      </w:r>
      <w:r>
        <w:t xml:space="preserve">, and BFD resources just need to be located on one CC within a CC group, </w:t>
      </w:r>
      <w:r w:rsidR="00461443">
        <w:t>on a first sight</w:t>
      </w:r>
      <w:r>
        <w:t xml:space="preserve"> Alt. 2 or Alt. 3 would be preferred. However, due to BWP operations (e.g. whether a BFD RS is in an active BWP or not)</w:t>
      </w:r>
      <w:r w:rsidR="00461443">
        <w:t xml:space="preserve"> and QCL chains which can span over two CCs</w:t>
      </w:r>
      <w:r>
        <w:t xml:space="preserve">, design following Alt. 2 and Alt. 3 can easily get complicated. Hence Alt. 1 </w:t>
      </w:r>
      <w:r w:rsidR="00461443">
        <w:t>has the merit of being relatively simple</w:t>
      </w:r>
      <w:r>
        <w:t>. The gNB can configure the SCell BFD RS in one CC in a CC group, all the relevant measurement on the UE part and BFRQ are assumed to be applicable to other CCs in the same CC group. Alternately, the gNB can also configure SCell BFD RS over more than one CC in a CC group, then the UE would have the freedo</w:t>
      </w:r>
      <w:r w:rsidR="0092069E">
        <w:t>m to choose which BFD RS to use</w:t>
      </w:r>
      <w:r>
        <w:t xml:space="preserve"> (consequently which CC to perform measurement on/send report on)</w:t>
      </w:r>
      <w:r w:rsidR="0092069E">
        <w:t xml:space="preserve"> depending on channel condition</w:t>
      </w:r>
      <w:r>
        <w:t>.</w:t>
      </w:r>
      <w:r w:rsidR="0092069E">
        <w:t xml:space="preserve"> Assume a shared BFRQ resource for all CCs </w:t>
      </w:r>
      <w:r w:rsidR="00461443">
        <w:t xml:space="preserve">in the CC group </w:t>
      </w:r>
      <w:r w:rsidR="0092069E">
        <w:t xml:space="preserve">is configured, then it becomes necessary to indicate the CC index in BFRQ. From the indicated CC index, the gNB can deduce which CC group has suffered beam failure. </w:t>
      </w:r>
    </w:p>
    <w:p w14:paraId="4494A7C4" w14:textId="043A22C1" w:rsidR="00864672" w:rsidRDefault="00864672" w:rsidP="005A3426">
      <w:r>
        <w:lastRenderedPageBreak/>
        <w:t xml:space="preserve">If CCs from multi-bands are activated, then </w:t>
      </w:r>
      <w:r w:rsidR="008755BF">
        <w:t xml:space="preserve">for </w:t>
      </w:r>
      <w:r>
        <w:t>each band</w:t>
      </w:r>
      <w:r w:rsidR="008755BF">
        <w:t>, the same design for the single band case can be used.</w:t>
      </w:r>
    </w:p>
    <w:p w14:paraId="3F2D50D0" w14:textId="77777777" w:rsidR="000A7E66" w:rsidRDefault="000A7E66" w:rsidP="005A3426">
      <w:r>
        <w:t>For FR2 DL-only SCell, at least the following two issues need to be addressed:</w:t>
      </w:r>
    </w:p>
    <w:p w14:paraId="48820571" w14:textId="3F940028" w:rsidR="00433243" w:rsidRDefault="000A7E66" w:rsidP="000A7E66">
      <w:pPr>
        <w:numPr>
          <w:ilvl w:val="0"/>
          <w:numId w:val="14"/>
        </w:numPr>
      </w:pPr>
      <w:r>
        <w:t>BFRQ transmission: Without SCell UL, apparently, BFRQ can only be transmitted on FR1</w:t>
      </w:r>
      <w:r w:rsidR="00864672">
        <w:t>/FR2</w:t>
      </w:r>
      <w:r>
        <w:t xml:space="preserve"> PCell. </w:t>
      </w:r>
      <w:r w:rsidR="00433243">
        <w:t>Though</w:t>
      </w:r>
      <w:r>
        <w:t xml:space="preserve"> spatial QCL assumption recognized by a SCell candidate beam </w:t>
      </w:r>
      <w:r w:rsidR="00864672">
        <w:t xml:space="preserve">may </w:t>
      </w:r>
      <w:r>
        <w:t xml:space="preserve">not </w:t>
      </w:r>
      <w:r w:rsidR="00130ED8">
        <w:t xml:space="preserve">be </w:t>
      </w:r>
      <w:r>
        <w:t>applicable on FR1</w:t>
      </w:r>
      <w:r w:rsidR="00864672">
        <w:t>/FR2</w:t>
      </w:r>
      <w:r>
        <w:t xml:space="preserve"> PCell,</w:t>
      </w:r>
      <w:r w:rsidR="00433243">
        <w:t xml:space="preserve"> it can </w:t>
      </w:r>
      <w:r w:rsidR="007F7D3F">
        <w:t xml:space="preserve">still </w:t>
      </w:r>
      <w:r w:rsidR="00433243">
        <w:t>be used as reactivating target of PDCCH beam on SCell via PCell DCI.</w:t>
      </w:r>
      <w:r w:rsidR="008755BF">
        <w:t xml:space="preserve"> A number of alternatives have been discussed in previous meetings:</w:t>
      </w:r>
    </w:p>
    <w:p w14:paraId="5EF4D030" w14:textId="23B93DD8" w:rsidR="008755BF" w:rsidRDefault="008755BF" w:rsidP="007F3E0D">
      <w:pPr>
        <w:numPr>
          <w:ilvl w:val="1"/>
          <w:numId w:val="34"/>
        </w:numPr>
      </w:pPr>
      <w:r>
        <w:t>CF RACH transmission</w:t>
      </w:r>
    </w:p>
    <w:p w14:paraId="4BFC28E2" w14:textId="0098192A" w:rsidR="008755BF" w:rsidRDefault="008755BF" w:rsidP="007F3E0D">
      <w:pPr>
        <w:numPr>
          <w:ilvl w:val="1"/>
          <w:numId w:val="34"/>
        </w:numPr>
      </w:pPr>
      <w:r>
        <w:t>CB RACH transmission</w:t>
      </w:r>
    </w:p>
    <w:p w14:paraId="148655D9" w14:textId="2853EB1F" w:rsidR="008755BF" w:rsidRDefault="008755BF" w:rsidP="007F3E0D">
      <w:pPr>
        <w:numPr>
          <w:ilvl w:val="1"/>
          <w:numId w:val="34"/>
        </w:numPr>
      </w:pPr>
      <w:r>
        <w:t>SR-like PUCCH transmission</w:t>
      </w:r>
    </w:p>
    <w:p w14:paraId="6609FDA1" w14:textId="0EE0F71D" w:rsidR="008755BF" w:rsidRDefault="008755BF" w:rsidP="007F3E0D">
      <w:pPr>
        <w:numPr>
          <w:ilvl w:val="1"/>
          <w:numId w:val="34"/>
        </w:numPr>
      </w:pPr>
      <w:r>
        <w:t>multi-bit PUCCH transmission, which allows inclusion information such as the failed CC’s CC Index in its payload, and also new candidate beam indication</w:t>
      </w:r>
    </w:p>
    <w:p w14:paraId="0F8C27D6" w14:textId="6774DA1E" w:rsidR="008755BF" w:rsidRDefault="008755BF" w:rsidP="007F3E0D">
      <w:pPr>
        <w:numPr>
          <w:ilvl w:val="1"/>
          <w:numId w:val="34"/>
        </w:numPr>
      </w:pPr>
      <w:r>
        <w:t>MAC CE</w:t>
      </w:r>
      <w:bookmarkStart w:id="10" w:name="_GoBack"/>
      <w:bookmarkEnd w:id="10"/>
    </w:p>
    <w:p w14:paraId="38EE452D" w14:textId="2BD6DA05" w:rsidR="00461443" w:rsidRDefault="0092069E" w:rsidP="007F3E0D">
      <w:pPr>
        <w:ind w:left="1496"/>
      </w:pPr>
      <w:r>
        <w:t xml:space="preserve">From discussion in Section 3.1, CB RACH transmission over PCell can be considered. </w:t>
      </w:r>
    </w:p>
    <w:p w14:paraId="3F179DA3" w14:textId="77777777" w:rsidR="005A3426" w:rsidRDefault="000A7E66" w:rsidP="007F3E0D">
      <w:pPr>
        <w:numPr>
          <w:ilvl w:val="0"/>
          <w:numId w:val="14"/>
        </w:numPr>
      </w:pPr>
      <w:r>
        <w:t>gNB response:</w:t>
      </w:r>
      <w:r w:rsidR="000D02DC">
        <w:t xml:space="preserve"> in principle, gNB response can be transmitted on either PCell or SCell. If transmitting on SCell, the response can be used for making sure beam alignment based on the selected-candidate beam. On the other hand, if PCell CBRA is used as fallback, transmitting gNB response of CF-PRACH on SCell would make UE to have different monitoring target</w:t>
      </w:r>
      <w:r w:rsidR="00DD16D5">
        <w:t>s for CBRA BFR and for CF-PRACH BFR.</w:t>
      </w:r>
    </w:p>
    <w:p w14:paraId="08074B0A" w14:textId="77777777" w:rsidR="003A6AAC" w:rsidRDefault="008E67A6" w:rsidP="008E67A6">
      <w:pPr>
        <w:pStyle w:val="Caption"/>
        <w:jc w:val="center"/>
      </w:pPr>
      <w:r>
        <w:t xml:space="preserve">Table </w:t>
      </w:r>
      <w:r>
        <w:fldChar w:fldCharType="begin"/>
      </w:r>
      <w:r>
        <w:instrText xml:space="preserve"> SEQ Table \* ARABIC </w:instrText>
      </w:r>
      <w:r>
        <w:fldChar w:fldCharType="separate"/>
      </w:r>
      <w:r w:rsidR="004548FB">
        <w:rPr>
          <w:noProof/>
        </w:rPr>
        <w:t>1</w:t>
      </w:r>
      <w:r>
        <w:fldChar w:fldCharType="end"/>
      </w:r>
      <w:r>
        <w:t>: Summary on Options for BFRQ and gNB response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gridCol w:w="3402"/>
      </w:tblGrid>
      <w:tr w:rsidR="00DD16D5" w14:paraId="3C29EE68" w14:textId="77777777" w:rsidTr="008048F5">
        <w:trPr>
          <w:jc w:val="center"/>
        </w:trPr>
        <w:tc>
          <w:tcPr>
            <w:tcW w:w="1526" w:type="dxa"/>
            <w:shd w:val="clear" w:color="auto" w:fill="auto"/>
          </w:tcPr>
          <w:p w14:paraId="1AD6636D" w14:textId="77777777" w:rsidR="00DD16D5" w:rsidRDefault="00DD16D5" w:rsidP="00C5033F"/>
        </w:tc>
        <w:tc>
          <w:tcPr>
            <w:tcW w:w="3969" w:type="dxa"/>
            <w:shd w:val="clear" w:color="auto" w:fill="auto"/>
          </w:tcPr>
          <w:p w14:paraId="2DB10731" w14:textId="77777777" w:rsidR="00DD16D5" w:rsidRDefault="00DD16D5" w:rsidP="00C5033F">
            <w:r>
              <w:t>BFRQ with candidate beam info</w:t>
            </w:r>
          </w:p>
        </w:tc>
        <w:tc>
          <w:tcPr>
            <w:tcW w:w="3402" w:type="dxa"/>
            <w:shd w:val="clear" w:color="auto" w:fill="auto"/>
          </w:tcPr>
          <w:p w14:paraId="7B6DBE49" w14:textId="77777777" w:rsidR="00DD16D5" w:rsidRDefault="00DD16D5" w:rsidP="00C5033F">
            <w:r>
              <w:t>BFRQ without candidate beam info</w:t>
            </w:r>
          </w:p>
        </w:tc>
      </w:tr>
      <w:tr w:rsidR="00DD16D5" w14:paraId="27CF1788" w14:textId="77777777" w:rsidTr="008048F5">
        <w:trPr>
          <w:jc w:val="center"/>
        </w:trPr>
        <w:tc>
          <w:tcPr>
            <w:tcW w:w="1526" w:type="dxa"/>
            <w:shd w:val="clear" w:color="auto" w:fill="auto"/>
          </w:tcPr>
          <w:p w14:paraId="2FABD73C" w14:textId="77777777" w:rsidR="00DD16D5" w:rsidRDefault="00DD16D5" w:rsidP="00C5033F">
            <w:r>
              <w:t>gNB response on PCell</w:t>
            </w:r>
          </w:p>
        </w:tc>
        <w:tc>
          <w:tcPr>
            <w:tcW w:w="3969" w:type="dxa"/>
            <w:shd w:val="clear" w:color="auto" w:fill="auto"/>
          </w:tcPr>
          <w:p w14:paraId="6E6CEF43" w14:textId="77777777" w:rsidR="007F7D3F" w:rsidRDefault="00433243" w:rsidP="00433243">
            <w:r>
              <w:t>Candidate beam information can be used to reactivate SCell PDCCH beam via PCell DCI (may be the same one as gNB response)</w:t>
            </w:r>
          </w:p>
        </w:tc>
        <w:tc>
          <w:tcPr>
            <w:tcW w:w="3402" w:type="dxa"/>
            <w:shd w:val="clear" w:color="auto" w:fill="auto"/>
          </w:tcPr>
          <w:p w14:paraId="6423CEB4" w14:textId="77777777" w:rsidR="00DD16D5" w:rsidRDefault="008E67A6" w:rsidP="00C5033F">
            <w:r>
              <w:t xml:space="preserve">Pro: less PRACH overhead </w:t>
            </w:r>
          </w:p>
          <w:p w14:paraId="4CBDC8D9" w14:textId="77777777" w:rsidR="008E67A6" w:rsidRDefault="008E67A6" w:rsidP="00C5033F">
            <w:r>
              <w:t>Con: further signaling step is needed to recover SCell BPL</w:t>
            </w:r>
          </w:p>
        </w:tc>
      </w:tr>
      <w:tr w:rsidR="00DD16D5" w14:paraId="790F51CB" w14:textId="77777777" w:rsidTr="008048F5">
        <w:trPr>
          <w:jc w:val="center"/>
        </w:trPr>
        <w:tc>
          <w:tcPr>
            <w:tcW w:w="1526" w:type="dxa"/>
            <w:shd w:val="clear" w:color="auto" w:fill="auto"/>
          </w:tcPr>
          <w:p w14:paraId="4EC6890F" w14:textId="77777777" w:rsidR="00DD16D5" w:rsidRDefault="00DD16D5" w:rsidP="00C5033F">
            <w:r>
              <w:t>gNB response on SCell</w:t>
            </w:r>
          </w:p>
        </w:tc>
        <w:tc>
          <w:tcPr>
            <w:tcW w:w="3969" w:type="dxa"/>
            <w:shd w:val="clear" w:color="auto" w:fill="auto"/>
          </w:tcPr>
          <w:p w14:paraId="3184D752" w14:textId="77777777" w:rsidR="00DD16D5" w:rsidRDefault="00DD16D5" w:rsidP="00C5033F">
            <w:r>
              <w:t>Pro: beam alignment confirmation on SCell as by-product</w:t>
            </w:r>
          </w:p>
          <w:p w14:paraId="50453A95" w14:textId="77777777" w:rsidR="00DD16D5" w:rsidRDefault="00DD16D5" w:rsidP="00C5033F">
            <w:r>
              <w:t>Con: different serving cells for monitoring gNB response between CF-PRACH BFR and CBRA BFR</w:t>
            </w:r>
          </w:p>
        </w:tc>
        <w:tc>
          <w:tcPr>
            <w:tcW w:w="3402" w:type="dxa"/>
            <w:shd w:val="clear" w:color="auto" w:fill="auto"/>
          </w:tcPr>
          <w:p w14:paraId="0AE53F26" w14:textId="77777777" w:rsidR="00DD16D5" w:rsidRDefault="00DD16D5" w:rsidP="00C5033F">
            <w:r>
              <w:t>N/A</w:t>
            </w:r>
          </w:p>
          <w:p w14:paraId="17B44031" w14:textId="77777777" w:rsidR="008E67A6" w:rsidRDefault="008E67A6" w:rsidP="00C5033F">
            <w:r>
              <w:t>(need candidate beam information for transmitting gNB response on SCell)</w:t>
            </w:r>
          </w:p>
        </w:tc>
      </w:tr>
    </w:tbl>
    <w:p w14:paraId="5BC1C936" w14:textId="77777777" w:rsidR="00DD16D5" w:rsidRPr="005A3426" w:rsidRDefault="00DD16D5" w:rsidP="00C5033F"/>
    <w:p w14:paraId="34510F2F" w14:textId="6C76C356" w:rsidR="00C5033F" w:rsidRPr="00C5033F" w:rsidRDefault="007F7D3F" w:rsidP="007F7D3F">
      <w:pPr>
        <w:pStyle w:val="Caption"/>
      </w:pPr>
      <w:bookmarkStart w:id="11" w:name="_Ref525988310"/>
      <w:r>
        <w:t xml:space="preserve">Proposal </w:t>
      </w:r>
      <w:r w:rsidR="00461443">
        <w:t>4</w:t>
      </w:r>
      <w:r>
        <w:t>: For FR2 DL-only SCell BFR, decide 1) whether or not to carry candidate beam information in BFRQ, and 2) on which serving cell to transmit gNB response.</w:t>
      </w:r>
      <w:bookmarkEnd w:id="11"/>
    </w:p>
    <w:p w14:paraId="24C04D80" w14:textId="77777777" w:rsidR="00B47B0D" w:rsidRDefault="00B47B0D" w:rsidP="006D0A99">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0069EFA9" w14:textId="77777777" w:rsidR="00B47B0D" w:rsidRDefault="00DE259B" w:rsidP="00FC5872">
      <w:pPr>
        <w:jc w:val="both"/>
        <w:rPr>
          <w:bCs/>
          <w:lang w:eastAsia="zh-TW"/>
        </w:rPr>
      </w:pPr>
      <w:r w:rsidRPr="00DA6B4A">
        <w:rPr>
          <w:bCs/>
          <w:lang w:eastAsia="zh-TW"/>
        </w:rPr>
        <w:t xml:space="preserve">In </w:t>
      </w:r>
      <w:r>
        <w:rPr>
          <w:bCs/>
          <w:lang w:eastAsia="zh-TW"/>
        </w:rPr>
        <w:t>summary, based on the above discussion we have the following</w:t>
      </w:r>
      <w:r w:rsidR="00AA0B1D">
        <w:rPr>
          <w:bCs/>
          <w:lang w:eastAsia="zh-TW"/>
        </w:rPr>
        <w:t xml:space="preserve"> observations and</w:t>
      </w:r>
      <w:r>
        <w:rPr>
          <w:bCs/>
          <w:lang w:eastAsia="zh-TW"/>
        </w:rPr>
        <w:t xml:space="preserve"> proposals:</w:t>
      </w:r>
    </w:p>
    <w:p w14:paraId="37E023CC" w14:textId="77777777" w:rsidR="00461443" w:rsidRDefault="00461443" w:rsidP="00461443">
      <w:pPr>
        <w:pStyle w:val="Caption"/>
      </w:pPr>
      <w:r>
        <w:t xml:space="preserve">Observation </w:t>
      </w:r>
      <w:r>
        <w:fldChar w:fldCharType="begin"/>
      </w:r>
      <w:r>
        <w:instrText xml:space="preserve"> SEQ Observation \* ARABIC </w:instrText>
      </w:r>
      <w:r>
        <w:fldChar w:fldCharType="separate"/>
      </w:r>
      <w:r>
        <w:rPr>
          <w:noProof/>
        </w:rPr>
        <w:t>1</w:t>
      </w:r>
      <w:r>
        <w:fldChar w:fldCharType="end"/>
      </w:r>
      <w:r>
        <w:t>: Currently supported group-based reporting mechanism (with N=2 reported beams) is a merged version of the two debating alternatives.</w:t>
      </w:r>
    </w:p>
    <w:p w14:paraId="2CCA184F" w14:textId="77777777" w:rsidR="00461443" w:rsidRDefault="00461443" w:rsidP="00461443">
      <w:pPr>
        <w:pStyle w:val="Caption"/>
      </w:pPr>
      <w:r>
        <w:lastRenderedPageBreak/>
        <w:t xml:space="preserve">Observation </w:t>
      </w:r>
      <w:r>
        <w:fldChar w:fldCharType="begin"/>
      </w:r>
      <w:r>
        <w:instrText xml:space="preserve"> SEQ Observation \* ARABIC </w:instrText>
      </w:r>
      <w:r>
        <w:fldChar w:fldCharType="separate"/>
      </w:r>
      <w:r>
        <w:rPr>
          <w:noProof/>
        </w:rPr>
        <w:t>2</w:t>
      </w:r>
      <w:r>
        <w:fldChar w:fldCharType="end"/>
      </w:r>
      <w:r>
        <w:t>: Number of supported panels/TRPs in multi-panel/multi-TRP scenarios should be confirmed first before considering increasing the number reported beams in group-based reporting.</w:t>
      </w:r>
    </w:p>
    <w:p w14:paraId="60136850" w14:textId="77777777" w:rsidR="00461443" w:rsidRDefault="00461443" w:rsidP="00461443">
      <w:pPr>
        <w:rPr>
          <w:lang w:val="en-GB"/>
        </w:rPr>
      </w:pPr>
    </w:p>
    <w:p w14:paraId="6395A831" w14:textId="77777777" w:rsidR="00461443" w:rsidRPr="00A84E1D" w:rsidRDefault="00461443" w:rsidP="007F3E0D">
      <w:pPr>
        <w:overflowPunct w:val="0"/>
        <w:autoSpaceDE w:val="0"/>
        <w:autoSpaceDN w:val="0"/>
        <w:adjustRightInd w:val="0"/>
        <w:jc w:val="both"/>
        <w:textAlignment w:val="baseline"/>
        <w:rPr>
          <w:rFonts w:eastAsia="SimSun"/>
          <w:b/>
          <w:szCs w:val="22"/>
          <w:lang w:val="en-GB"/>
        </w:rPr>
      </w:pPr>
      <w:r>
        <w:rPr>
          <w:rFonts w:eastAsia="SimSun"/>
          <w:b/>
          <w:lang w:val="en-GB"/>
        </w:rPr>
        <w:t>Proposal 1-1</w:t>
      </w:r>
      <w:r w:rsidRPr="00A84E1D">
        <w:rPr>
          <w:rFonts w:eastAsia="SimSun"/>
          <w:b/>
          <w:szCs w:val="22"/>
          <w:lang w:val="en-GB"/>
        </w:rPr>
        <w:t xml:space="preserve">: </w:t>
      </w:r>
    </w:p>
    <w:p w14:paraId="7F62458D" w14:textId="77777777" w:rsidR="00461443" w:rsidRDefault="00461443" w:rsidP="007F3E0D">
      <w:pPr>
        <w:numPr>
          <w:ilvl w:val="0"/>
          <w:numId w:val="35"/>
        </w:numPr>
        <w:overflowPunct w:val="0"/>
        <w:autoSpaceDE w:val="0"/>
        <w:autoSpaceDN w:val="0"/>
        <w:adjustRightInd w:val="0"/>
        <w:spacing w:after="0"/>
        <w:jc w:val="both"/>
        <w:textAlignment w:val="baseline"/>
        <w:rPr>
          <w:rFonts w:eastAsia="Calibri"/>
          <w:b/>
          <w:szCs w:val="22"/>
        </w:rPr>
      </w:pPr>
      <w:r w:rsidRPr="00A84E1D">
        <w:rPr>
          <w:rFonts w:eastAsia="Calibri"/>
          <w:b/>
          <w:szCs w:val="22"/>
        </w:rPr>
        <w:t>On L1-SINR based beam reporting content, at least to reuse L1-RSRP based beam reporting format specified in Rel-15 is supported.</w:t>
      </w:r>
    </w:p>
    <w:p w14:paraId="781325AF" w14:textId="77777777" w:rsidR="00461443" w:rsidRPr="00A84E1D" w:rsidRDefault="00461443" w:rsidP="007F3E0D">
      <w:pPr>
        <w:overflowPunct w:val="0"/>
        <w:autoSpaceDE w:val="0"/>
        <w:autoSpaceDN w:val="0"/>
        <w:adjustRightInd w:val="0"/>
        <w:spacing w:after="0"/>
        <w:ind w:left="1004"/>
        <w:jc w:val="both"/>
        <w:textAlignment w:val="baseline"/>
        <w:rPr>
          <w:rFonts w:eastAsia="Calibri"/>
          <w:b/>
          <w:szCs w:val="22"/>
        </w:rPr>
      </w:pPr>
    </w:p>
    <w:p w14:paraId="1199A755" w14:textId="77777777" w:rsidR="00461443" w:rsidRPr="00641A3F" w:rsidRDefault="00461443" w:rsidP="007F3E0D">
      <w:pPr>
        <w:jc w:val="both"/>
        <w:rPr>
          <w:b/>
          <w:szCs w:val="22"/>
        </w:rPr>
      </w:pPr>
      <w:r>
        <w:rPr>
          <w:b/>
        </w:rPr>
        <w:t>Proposal 1-2</w:t>
      </w:r>
      <w:r w:rsidRPr="00641A3F">
        <w:rPr>
          <w:b/>
          <w:szCs w:val="22"/>
        </w:rPr>
        <w:t>:</w:t>
      </w:r>
    </w:p>
    <w:p w14:paraId="4EB52BFD" w14:textId="77777777" w:rsidR="00461443" w:rsidRPr="0028764F" w:rsidRDefault="00461443" w:rsidP="007F3E0D">
      <w:pPr>
        <w:pStyle w:val="ListParagraph"/>
        <w:numPr>
          <w:ilvl w:val="0"/>
          <w:numId w:val="35"/>
        </w:numPr>
        <w:spacing w:after="0"/>
        <w:jc w:val="both"/>
      </w:pPr>
      <w:r w:rsidRPr="0006672C">
        <w:rPr>
          <w:b/>
        </w:rPr>
        <w:t>L1-SINR based beam measurement can be applied to</w:t>
      </w:r>
      <w:r>
        <w:rPr>
          <w:b/>
        </w:rPr>
        <w:t xml:space="preserve"> non-group based beam reporting, group based beam reporting and new beam identification.</w:t>
      </w:r>
    </w:p>
    <w:p w14:paraId="17656706" w14:textId="77777777" w:rsidR="00461443" w:rsidRDefault="00461443" w:rsidP="00461443"/>
    <w:p w14:paraId="282E0A0D" w14:textId="77777777" w:rsidR="00461443" w:rsidRPr="009B286C" w:rsidRDefault="00461443" w:rsidP="00461443">
      <w:pPr>
        <w:pStyle w:val="Caption"/>
      </w:pPr>
      <w:r>
        <w:t>Proposal 2: U-3 procedure which allows UE local TX beam sweeping around an indicated spatial relation information is supported for reducing UL beam training overhead.</w:t>
      </w:r>
    </w:p>
    <w:p w14:paraId="09446965" w14:textId="77777777" w:rsidR="00461443" w:rsidRPr="003B6473" w:rsidRDefault="00461443" w:rsidP="00461443">
      <w:pPr>
        <w:rPr>
          <w:lang w:val="en-GB"/>
        </w:rPr>
      </w:pPr>
    </w:p>
    <w:p w14:paraId="208C04E9" w14:textId="77777777" w:rsidR="00461443" w:rsidRPr="00AA0B1D" w:rsidRDefault="00461443" w:rsidP="00461443">
      <w:pPr>
        <w:pStyle w:val="Caption"/>
        <w:rPr>
          <w:lang w:val="en-US"/>
        </w:rPr>
      </w:pPr>
      <w:r w:rsidRPr="00AA0B1D">
        <w:t xml:space="preserve">Observation </w:t>
      </w:r>
      <w:r w:rsidRPr="00AA0B1D">
        <w:fldChar w:fldCharType="begin"/>
      </w:r>
      <w:r w:rsidRPr="00AA0B1D">
        <w:instrText xml:space="preserve"> SEQ Observation \* ARABIC </w:instrText>
      </w:r>
      <w:r w:rsidRPr="00AA0B1D">
        <w:fldChar w:fldCharType="separate"/>
      </w:r>
      <w:r>
        <w:rPr>
          <w:noProof/>
        </w:rPr>
        <w:t>3</w:t>
      </w:r>
      <w:r w:rsidRPr="00AA0B1D">
        <w:fldChar w:fldCharType="end"/>
      </w:r>
      <w:r w:rsidRPr="00AA0B1D">
        <w:t>: Contention-based BFR on SCell provides better robustness for link recovery.</w:t>
      </w:r>
    </w:p>
    <w:p w14:paraId="36A5217B" w14:textId="77777777" w:rsidR="00461443" w:rsidRDefault="00461443" w:rsidP="00461443">
      <w:pPr>
        <w:pStyle w:val="Caption"/>
      </w:pPr>
      <w:r>
        <w:t>Proposal 3: To provide a contention-based BFR on SCell as fallback mode, discuss between the following two alternatives: 1) CBRA on SCell, 2) CBRA on PCell.</w:t>
      </w:r>
    </w:p>
    <w:p w14:paraId="7802466B" w14:textId="77777777" w:rsidR="00461443" w:rsidRDefault="00461443" w:rsidP="00461443">
      <w:pPr>
        <w:rPr>
          <w:lang w:val="en-GB"/>
        </w:rPr>
      </w:pPr>
    </w:p>
    <w:p w14:paraId="0A5475CE" w14:textId="77777777" w:rsidR="00461443" w:rsidRPr="00C5033F" w:rsidRDefault="00461443" w:rsidP="00461443">
      <w:pPr>
        <w:pStyle w:val="Caption"/>
      </w:pPr>
      <w:r>
        <w:t>Proposal 4: For FR2 DL-only SCell BFR, decide 1) whether or not to carry candidate beam information in BFRQ, and 2) on which serving cell to transmit gNB response.</w:t>
      </w:r>
    </w:p>
    <w:p w14:paraId="6508453C" w14:textId="77777777" w:rsidR="000422DB" w:rsidRDefault="000422DB" w:rsidP="006D0A99">
      <w:pPr>
        <w:pStyle w:val="Heading1"/>
        <w:numPr>
          <w:ilvl w:val="0"/>
          <w:numId w:val="1"/>
        </w:numPr>
        <w:jc w:val="both"/>
      </w:pPr>
      <w:r w:rsidRPr="00B35290">
        <w:rPr>
          <w:rFonts w:eastAsia="MS Mincho" w:cs="Arial"/>
          <w:b/>
          <w:sz w:val="32"/>
          <w:szCs w:val="32"/>
          <w:lang w:val="en-US"/>
        </w:rPr>
        <w:t>References</w:t>
      </w:r>
    </w:p>
    <w:p w14:paraId="0954F168" w14:textId="77777777" w:rsidR="00A7521F" w:rsidRDefault="00651F1C" w:rsidP="00C06A37">
      <w:pPr>
        <w:numPr>
          <w:ilvl w:val="0"/>
          <w:numId w:val="2"/>
        </w:numPr>
        <w:jc w:val="both"/>
      </w:pPr>
      <w:bookmarkStart w:id="12" w:name="_Ref521506483"/>
      <w:bookmarkStart w:id="13" w:name="_Ref525757547"/>
      <w:bookmarkEnd w:id="0"/>
      <w:bookmarkEnd w:id="1"/>
      <w:r>
        <w:t>RP</w:t>
      </w:r>
      <w:r w:rsidR="00A7521F">
        <w:t>-18</w:t>
      </w:r>
      <w:r>
        <w:t>1453</w:t>
      </w:r>
      <w:r w:rsidR="00A7521F">
        <w:t>, “</w:t>
      </w:r>
      <w:r>
        <w:t>WI Proposal on NR MIMO Enhancements</w:t>
      </w:r>
      <w:r w:rsidR="00A7521F">
        <w:t xml:space="preserve">”, </w:t>
      </w:r>
      <w:bookmarkEnd w:id="12"/>
      <w:r>
        <w:t>Samsung</w:t>
      </w:r>
      <w:bookmarkEnd w:id="13"/>
    </w:p>
    <w:p w14:paraId="1ABDD7C2" w14:textId="77777777" w:rsidR="00651F1C" w:rsidRDefault="00651F1C" w:rsidP="00C06A37">
      <w:pPr>
        <w:numPr>
          <w:ilvl w:val="0"/>
          <w:numId w:val="2"/>
        </w:numPr>
        <w:jc w:val="both"/>
      </w:pPr>
      <w:bookmarkStart w:id="14" w:name="_Ref525757557"/>
      <w:r>
        <w:t>RP-182067, “Revised WID: Enhancements on MIMO for NR”, Samsung</w:t>
      </w:r>
      <w:bookmarkEnd w:id="14"/>
    </w:p>
    <w:p w14:paraId="000AF111" w14:textId="77777777" w:rsidR="001C3D21" w:rsidRDefault="00F31793" w:rsidP="00C06A37">
      <w:pPr>
        <w:numPr>
          <w:ilvl w:val="0"/>
          <w:numId w:val="2"/>
        </w:numPr>
        <w:jc w:val="both"/>
      </w:pPr>
      <w:bookmarkStart w:id="15" w:name="_Ref528674621"/>
      <w:r>
        <w:t>R1-18x</w:t>
      </w:r>
      <w:r w:rsidR="00427771">
        <w:t>xxxx, “</w:t>
      </w:r>
      <w:r w:rsidR="00427771">
        <w:rPr>
          <w:sz w:val="20"/>
        </w:rPr>
        <w:t>Draft R</w:t>
      </w:r>
      <w:r>
        <w:rPr>
          <w:sz w:val="20"/>
        </w:rPr>
        <w:t>eport of 3GPP TSG RAN WG1 #95</w:t>
      </w:r>
      <w:r w:rsidR="00427771">
        <w:rPr>
          <w:sz w:val="20"/>
        </w:rPr>
        <w:t xml:space="preserve"> v0.1.0</w:t>
      </w:r>
      <w:r w:rsidR="00427771">
        <w:t>”</w:t>
      </w:r>
      <w:bookmarkEnd w:id="15"/>
    </w:p>
    <w:p w14:paraId="3ECEC682" w14:textId="77777777" w:rsidR="00A14B60" w:rsidRDefault="00950738" w:rsidP="00C06A37">
      <w:pPr>
        <w:numPr>
          <w:ilvl w:val="0"/>
          <w:numId w:val="2"/>
        </w:numPr>
        <w:jc w:val="both"/>
      </w:pPr>
      <w:r>
        <w:t>R1-1713694, “Discussions on SS-block measurement and beam reporting”, MediaTek</w:t>
      </w:r>
    </w:p>
    <w:p w14:paraId="1DA23EF3" w14:textId="77777777" w:rsidR="00950738" w:rsidRPr="004F6DA8" w:rsidRDefault="004F6DA8" w:rsidP="00C06A37">
      <w:pPr>
        <w:numPr>
          <w:ilvl w:val="0"/>
          <w:numId w:val="2"/>
        </w:numPr>
        <w:jc w:val="both"/>
      </w:pPr>
      <w:bookmarkStart w:id="16" w:name="_Ref485134794"/>
      <w:r>
        <w:rPr>
          <w:bCs/>
          <w:lang w:eastAsia="zh-TW"/>
        </w:rPr>
        <w:t>R1-1707831, “</w:t>
      </w:r>
      <w:r w:rsidRPr="005D033C">
        <w:rPr>
          <w:bCs/>
          <w:lang w:eastAsia="zh-TW"/>
        </w:rPr>
        <w:t>Discussion on UL beam management and imperfect beam correspondence</w:t>
      </w:r>
      <w:r>
        <w:rPr>
          <w:bCs/>
          <w:lang w:eastAsia="zh-TW"/>
        </w:rPr>
        <w:t>”, MediaTek</w:t>
      </w:r>
      <w:bookmarkEnd w:id="16"/>
    </w:p>
    <w:sectPr w:rsidR="00950738" w:rsidRPr="004F6DA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47155" w14:textId="77777777" w:rsidR="00F43C50" w:rsidRDefault="00F43C50">
      <w:r>
        <w:separator/>
      </w:r>
    </w:p>
  </w:endnote>
  <w:endnote w:type="continuationSeparator" w:id="0">
    <w:p w14:paraId="3AE8FBE7" w14:textId="77777777" w:rsidR="00F43C50" w:rsidRDefault="00F4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ADBCC" w14:textId="77777777" w:rsidR="0000014B" w:rsidRDefault="000001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13448" w14:textId="77777777" w:rsidR="0000014B" w:rsidRDefault="0000014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EA7A6" w14:textId="77777777" w:rsidR="0000014B" w:rsidRDefault="000001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E10DF" w14:textId="77777777" w:rsidR="00F43C50" w:rsidRDefault="00F43C50">
      <w:r>
        <w:separator/>
      </w:r>
    </w:p>
  </w:footnote>
  <w:footnote w:type="continuationSeparator" w:id="0">
    <w:p w14:paraId="298CD581" w14:textId="77777777" w:rsidR="00F43C50" w:rsidRDefault="00F43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98A94" w14:textId="77777777" w:rsidR="0000014B" w:rsidRDefault="000001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8EA2" w14:textId="77777777" w:rsidR="0000014B" w:rsidRDefault="000001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6805A" w14:textId="77777777" w:rsidR="0000014B" w:rsidRDefault="000001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240E"/>
    <w:multiLevelType w:val="hybridMultilevel"/>
    <w:tmpl w:val="B1DCE078"/>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1708D"/>
    <w:multiLevelType w:val="hybridMultilevel"/>
    <w:tmpl w:val="625E063A"/>
    <w:lvl w:ilvl="0" w:tplc="1DA49986">
      <w:start w:val="1"/>
      <w:numFmt w:val="bullet"/>
      <w:lvlText w:val="•"/>
      <w:lvlJc w:val="left"/>
      <w:pPr>
        <w:tabs>
          <w:tab w:val="num" w:pos="720"/>
        </w:tabs>
        <w:ind w:left="720" w:hanging="360"/>
      </w:pPr>
      <w:rPr>
        <w:rFonts w:ascii="Calibri Bold" w:hAnsi="Calibri Bold" w:hint="default"/>
      </w:rPr>
    </w:lvl>
    <w:lvl w:ilvl="1" w:tplc="12D036C8">
      <w:start w:val="1"/>
      <w:numFmt w:val="bullet"/>
      <w:lvlText w:val="•"/>
      <w:lvlJc w:val="left"/>
      <w:pPr>
        <w:tabs>
          <w:tab w:val="num" w:pos="1440"/>
        </w:tabs>
        <w:ind w:left="1440" w:hanging="360"/>
      </w:pPr>
      <w:rPr>
        <w:rFonts w:ascii="Calibri Bold" w:hAnsi="Calibri Bold"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18E2952"/>
    <w:multiLevelType w:val="hybridMultilevel"/>
    <w:tmpl w:val="AEB27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F6CF7"/>
    <w:multiLevelType w:val="hybridMultilevel"/>
    <w:tmpl w:val="3F168792"/>
    <w:lvl w:ilvl="0" w:tplc="AC968F4C">
      <w:start w:val="3"/>
      <w:numFmt w:val="bullet"/>
      <w:lvlText w:val="-"/>
      <w:lvlJc w:val="left"/>
      <w:pPr>
        <w:ind w:left="1212" w:hanging="360"/>
      </w:pPr>
      <w:rPr>
        <w:rFonts w:ascii="Times New Roman" w:eastAsia="Malgun Gothic" w:hAnsi="Times New Roman" w:cs="Times New Roman" w:hint="default"/>
      </w:rPr>
    </w:lvl>
    <w:lvl w:ilvl="1" w:tplc="0409000F">
      <w:start w:val="1"/>
      <w:numFmt w:val="decimal"/>
      <w:lvlText w:val="%2."/>
      <w:lvlJc w:val="left"/>
      <w:pPr>
        <w:ind w:left="1652" w:hanging="400"/>
      </w:pPr>
      <w:rPr>
        <w:rFonts w:hint="default"/>
      </w:rPr>
    </w:lvl>
    <w:lvl w:ilvl="2" w:tplc="08090003">
      <w:start w:val="1"/>
      <w:numFmt w:val="bullet"/>
      <w:lvlText w:val="o"/>
      <w:lvlJc w:val="left"/>
      <w:pPr>
        <w:ind w:left="2052" w:hanging="400"/>
      </w:pPr>
      <w:rPr>
        <w:rFonts w:ascii="Courier New" w:hAnsi="Courier New" w:cs="Courier New" w:hint="default"/>
      </w:rPr>
    </w:lvl>
    <w:lvl w:ilvl="3" w:tplc="AC968F4C">
      <w:start w:val="3"/>
      <w:numFmt w:val="bullet"/>
      <w:lvlText w:val="-"/>
      <w:lvlJc w:val="left"/>
      <w:pPr>
        <w:ind w:left="2452" w:hanging="400"/>
      </w:pPr>
      <w:rPr>
        <w:rFonts w:ascii="Times New Roman" w:eastAsia="Malgun Gothic" w:hAnsi="Times New Roman" w:cs="Times New Roman" w:hint="default"/>
      </w:rPr>
    </w:lvl>
    <w:lvl w:ilvl="4" w:tplc="04090003">
      <w:start w:val="1"/>
      <w:numFmt w:val="bullet"/>
      <w:lvlText w:val=""/>
      <w:lvlJc w:val="left"/>
      <w:pPr>
        <w:ind w:left="2852" w:hanging="400"/>
      </w:pPr>
      <w:rPr>
        <w:rFonts w:ascii="Wingdings" w:hAnsi="Wingdings" w:hint="default"/>
      </w:rPr>
    </w:lvl>
    <w:lvl w:ilvl="5" w:tplc="04090005">
      <w:start w:val="1"/>
      <w:numFmt w:val="bullet"/>
      <w:lvlText w:val=""/>
      <w:lvlJc w:val="left"/>
      <w:pPr>
        <w:ind w:left="3252" w:hanging="400"/>
      </w:pPr>
      <w:rPr>
        <w:rFonts w:ascii="Wingdings" w:hAnsi="Wingdings" w:hint="default"/>
      </w:rPr>
    </w:lvl>
    <w:lvl w:ilvl="6" w:tplc="04090001">
      <w:start w:val="1"/>
      <w:numFmt w:val="bullet"/>
      <w:lvlText w:val=""/>
      <w:lvlJc w:val="left"/>
      <w:pPr>
        <w:ind w:left="3652" w:hanging="400"/>
      </w:pPr>
      <w:rPr>
        <w:rFonts w:ascii="Wingdings" w:hAnsi="Wingdings" w:hint="default"/>
      </w:rPr>
    </w:lvl>
    <w:lvl w:ilvl="7" w:tplc="04090003">
      <w:start w:val="1"/>
      <w:numFmt w:val="bullet"/>
      <w:lvlText w:val=""/>
      <w:lvlJc w:val="left"/>
      <w:pPr>
        <w:ind w:left="4052" w:hanging="400"/>
      </w:pPr>
      <w:rPr>
        <w:rFonts w:ascii="Wingdings" w:hAnsi="Wingdings" w:hint="default"/>
      </w:rPr>
    </w:lvl>
    <w:lvl w:ilvl="8" w:tplc="04090005">
      <w:start w:val="1"/>
      <w:numFmt w:val="bullet"/>
      <w:lvlText w:val=""/>
      <w:lvlJc w:val="left"/>
      <w:pPr>
        <w:ind w:left="4452" w:hanging="400"/>
      </w:pPr>
      <w:rPr>
        <w:rFonts w:ascii="Wingdings" w:hAnsi="Wingdings" w:hint="default"/>
      </w:rPr>
    </w:lvl>
  </w:abstractNum>
  <w:abstractNum w:abstractNumId="8" w15:restartNumberingAfterBreak="0">
    <w:nsid w:val="18C73766"/>
    <w:multiLevelType w:val="hybridMultilevel"/>
    <w:tmpl w:val="D65AD83E"/>
    <w:lvl w:ilvl="0" w:tplc="65C4B01C">
      <w:start w:val="2"/>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6978F3"/>
    <w:multiLevelType w:val="hybridMultilevel"/>
    <w:tmpl w:val="A73A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1496" w:hanging="360"/>
      </w:pPr>
      <w:rPr>
        <w:rFonts w:ascii="Times New Roman" w:eastAsia="Malgun Gothic" w:hAnsi="Times New Roman" w:cs="Times New Roman" w:hint="default"/>
      </w:rPr>
    </w:lvl>
    <w:lvl w:ilvl="1" w:tplc="FFFFFFFF">
      <w:start w:val="1"/>
      <w:numFmt w:val="bullet"/>
      <w:lvlText w:val=""/>
      <w:lvlJc w:val="left"/>
      <w:pPr>
        <w:ind w:left="1936" w:hanging="400"/>
      </w:pPr>
      <w:rPr>
        <w:rFonts w:ascii="Symbol" w:hAnsi="Symbol" w:hint="default"/>
      </w:rPr>
    </w:lvl>
    <w:lvl w:ilvl="2" w:tplc="08090003">
      <w:start w:val="1"/>
      <w:numFmt w:val="bullet"/>
      <w:lvlText w:val="o"/>
      <w:lvlJc w:val="left"/>
      <w:pPr>
        <w:ind w:left="2336" w:hanging="400"/>
      </w:pPr>
      <w:rPr>
        <w:rFonts w:ascii="Courier New" w:hAnsi="Courier New" w:cs="Courier New" w:hint="default"/>
      </w:rPr>
    </w:lvl>
    <w:lvl w:ilvl="3" w:tplc="AC968F4C">
      <w:start w:val="3"/>
      <w:numFmt w:val="bullet"/>
      <w:lvlText w:val="-"/>
      <w:lvlJc w:val="left"/>
      <w:pPr>
        <w:ind w:left="2736" w:hanging="400"/>
      </w:pPr>
      <w:rPr>
        <w:rFonts w:ascii="Times New Roman" w:eastAsia="Malgun Gothic" w:hAnsi="Times New Roman" w:cs="Times New Roman" w:hint="default"/>
      </w:rPr>
    </w:lvl>
    <w:lvl w:ilvl="4" w:tplc="04090003">
      <w:start w:val="1"/>
      <w:numFmt w:val="bullet"/>
      <w:lvlText w:val=""/>
      <w:lvlJc w:val="left"/>
      <w:pPr>
        <w:ind w:left="3136" w:hanging="400"/>
      </w:pPr>
      <w:rPr>
        <w:rFonts w:ascii="Wingdings" w:hAnsi="Wingdings" w:hint="default"/>
      </w:rPr>
    </w:lvl>
    <w:lvl w:ilvl="5" w:tplc="04090005">
      <w:start w:val="1"/>
      <w:numFmt w:val="bullet"/>
      <w:lvlText w:val=""/>
      <w:lvlJc w:val="left"/>
      <w:pPr>
        <w:ind w:left="3536" w:hanging="400"/>
      </w:pPr>
      <w:rPr>
        <w:rFonts w:ascii="Wingdings" w:hAnsi="Wingdings" w:hint="default"/>
      </w:rPr>
    </w:lvl>
    <w:lvl w:ilvl="6" w:tplc="04090001">
      <w:start w:val="1"/>
      <w:numFmt w:val="bullet"/>
      <w:lvlText w:val=""/>
      <w:lvlJc w:val="left"/>
      <w:pPr>
        <w:ind w:left="3936" w:hanging="400"/>
      </w:pPr>
      <w:rPr>
        <w:rFonts w:ascii="Wingdings" w:hAnsi="Wingdings" w:hint="default"/>
      </w:rPr>
    </w:lvl>
    <w:lvl w:ilvl="7" w:tplc="04090003">
      <w:start w:val="1"/>
      <w:numFmt w:val="bullet"/>
      <w:lvlText w:val=""/>
      <w:lvlJc w:val="left"/>
      <w:pPr>
        <w:ind w:left="4336" w:hanging="400"/>
      </w:pPr>
      <w:rPr>
        <w:rFonts w:ascii="Wingdings" w:hAnsi="Wingdings" w:hint="default"/>
      </w:rPr>
    </w:lvl>
    <w:lvl w:ilvl="8" w:tplc="04090005">
      <w:start w:val="1"/>
      <w:numFmt w:val="bullet"/>
      <w:lvlText w:val=""/>
      <w:lvlJc w:val="left"/>
      <w:pPr>
        <w:ind w:left="4736" w:hanging="400"/>
      </w:pPr>
      <w:rPr>
        <w:rFonts w:ascii="Wingdings" w:hAnsi="Wingdings" w:hint="default"/>
      </w:rPr>
    </w:lvl>
  </w:abstractNum>
  <w:abstractNum w:abstractNumId="13"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114041"/>
    <w:multiLevelType w:val="hybridMultilevel"/>
    <w:tmpl w:val="650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7183D"/>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45A03F8"/>
    <w:multiLevelType w:val="hybridMultilevel"/>
    <w:tmpl w:val="386CE7BE"/>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4A6E0F"/>
    <w:multiLevelType w:val="hybridMultilevel"/>
    <w:tmpl w:val="BC7C7D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020C04"/>
    <w:multiLevelType w:val="hybridMultilevel"/>
    <w:tmpl w:val="51C2DC12"/>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27"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913915"/>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54CC0"/>
    <w:multiLevelType w:val="hybridMultilevel"/>
    <w:tmpl w:val="50F40326"/>
    <w:lvl w:ilvl="0" w:tplc="940C3B42">
      <w:start w:val="1"/>
      <w:numFmt w:val="decimal"/>
      <w:lvlText w:val="3.%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C6121F"/>
    <w:multiLevelType w:val="hybridMultilevel"/>
    <w:tmpl w:val="600AEBEE"/>
    <w:lvl w:ilvl="0" w:tplc="D6D8A6AC">
      <w:start w:val="1"/>
      <w:numFmt w:val="decimal"/>
      <w:lvlText w:val="2.%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A020E"/>
    <w:multiLevelType w:val="hybridMultilevel"/>
    <w:tmpl w:val="C318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6"/>
  </w:num>
  <w:num w:numId="2">
    <w:abstractNumId w:val="13"/>
  </w:num>
  <w:num w:numId="3">
    <w:abstractNumId w:val="34"/>
  </w:num>
  <w:num w:numId="4">
    <w:abstractNumId w:val="31"/>
  </w:num>
  <w:num w:numId="5">
    <w:abstractNumId w:val="3"/>
  </w:num>
  <w:num w:numId="6">
    <w:abstractNumId w:val="1"/>
  </w:num>
  <w:num w:numId="7">
    <w:abstractNumId w:val="33"/>
  </w:num>
  <w:num w:numId="8">
    <w:abstractNumId w:val="24"/>
  </w:num>
  <w:num w:numId="9">
    <w:abstractNumId w:val="4"/>
  </w:num>
  <w:num w:numId="10">
    <w:abstractNumId w:val="25"/>
  </w:num>
  <w:num w:numId="11">
    <w:abstractNumId w:val="32"/>
  </w:num>
  <w:num w:numId="12">
    <w:abstractNumId w:val="22"/>
  </w:num>
  <w:num w:numId="13">
    <w:abstractNumId w:val="8"/>
  </w:num>
  <w:num w:numId="14">
    <w:abstractNumId w:val="12"/>
  </w:num>
  <w:num w:numId="15">
    <w:abstractNumId w:val="15"/>
  </w:num>
  <w:num w:numId="16">
    <w:abstractNumId w:val="5"/>
  </w:num>
  <w:num w:numId="17">
    <w:abstractNumId w:val="6"/>
  </w:num>
  <w:num w:numId="18">
    <w:abstractNumId w:val="16"/>
  </w:num>
  <w:num w:numId="19">
    <w:abstractNumId w:val="28"/>
  </w:num>
  <w:num w:numId="20">
    <w:abstractNumId w:val="10"/>
  </w:num>
  <w:num w:numId="21">
    <w:abstractNumId w:val="17"/>
  </w:num>
  <w:num w:numId="22">
    <w:abstractNumId w:val="2"/>
  </w:num>
  <w:num w:numId="23">
    <w:abstractNumId w:val="11"/>
  </w:num>
  <w:num w:numId="24">
    <w:abstractNumId w:val="27"/>
  </w:num>
  <w:num w:numId="25">
    <w:abstractNumId w:val="14"/>
  </w:num>
  <w:num w:numId="26">
    <w:abstractNumId w:val="9"/>
  </w:num>
  <w:num w:numId="27">
    <w:abstractNumId w:val="19"/>
  </w:num>
  <w:num w:numId="28">
    <w:abstractNumId w:val="20"/>
  </w:num>
  <w:num w:numId="29">
    <w:abstractNumId w:val="26"/>
  </w:num>
  <w:num w:numId="30">
    <w:abstractNumId w:val="0"/>
  </w:num>
  <w:num w:numId="31">
    <w:abstractNumId w:val="18"/>
  </w:num>
  <w:num w:numId="32">
    <w:abstractNumId w:val="29"/>
  </w:num>
  <w:num w:numId="33">
    <w:abstractNumId w:val="35"/>
  </w:num>
  <w:num w:numId="34">
    <w:abstractNumId w:val="7"/>
  </w:num>
  <w:num w:numId="35">
    <w:abstractNumId w:val="21"/>
  </w:num>
  <w:num w:numId="36">
    <w:abstractNumId w:val="30"/>
  </w:num>
  <w:num w:numId="37">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4B5C"/>
    <w:rsid w:val="0000797A"/>
    <w:rsid w:val="000100EA"/>
    <w:rsid w:val="00015FE8"/>
    <w:rsid w:val="000202C6"/>
    <w:rsid w:val="00020ADF"/>
    <w:rsid w:val="00020C94"/>
    <w:rsid w:val="00020F7C"/>
    <w:rsid w:val="0002187E"/>
    <w:rsid w:val="0002191D"/>
    <w:rsid w:val="000257C8"/>
    <w:rsid w:val="000266A0"/>
    <w:rsid w:val="00026F21"/>
    <w:rsid w:val="0003089D"/>
    <w:rsid w:val="00031AC9"/>
    <w:rsid w:val="00031C1D"/>
    <w:rsid w:val="00032C88"/>
    <w:rsid w:val="00032F6B"/>
    <w:rsid w:val="00035AA7"/>
    <w:rsid w:val="00036300"/>
    <w:rsid w:val="0004069A"/>
    <w:rsid w:val="00040FA9"/>
    <w:rsid w:val="00041C77"/>
    <w:rsid w:val="000421DA"/>
    <w:rsid w:val="000422DB"/>
    <w:rsid w:val="0004529B"/>
    <w:rsid w:val="0004557C"/>
    <w:rsid w:val="0004559E"/>
    <w:rsid w:val="000476AD"/>
    <w:rsid w:val="000476B2"/>
    <w:rsid w:val="00047DA2"/>
    <w:rsid w:val="00047DB7"/>
    <w:rsid w:val="000513B2"/>
    <w:rsid w:val="00051F82"/>
    <w:rsid w:val="00053C5F"/>
    <w:rsid w:val="000542ED"/>
    <w:rsid w:val="00054424"/>
    <w:rsid w:val="00057AD8"/>
    <w:rsid w:val="00061A8C"/>
    <w:rsid w:val="0006429E"/>
    <w:rsid w:val="00065840"/>
    <w:rsid w:val="00066C90"/>
    <w:rsid w:val="00072748"/>
    <w:rsid w:val="00072CB2"/>
    <w:rsid w:val="00072F1D"/>
    <w:rsid w:val="00074087"/>
    <w:rsid w:val="0007597B"/>
    <w:rsid w:val="00082160"/>
    <w:rsid w:val="000822CC"/>
    <w:rsid w:val="000837A9"/>
    <w:rsid w:val="00085C1A"/>
    <w:rsid w:val="0008693B"/>
    <w:rsid w:val="0008738E"/>
    <w:rsid w:val="00093E7E"/>
    <w:rsid w:val="00095C7B"/>
    <w:rsid w:val="00096F03"/>
    <w:rsid w:val="0009767B"/>
    <w:rsid w:val="000A21D1"/>
    <w:rsid w:val="000A2872"/>
    <w:rsid w:val="000A2A89"/>
    <w:rsid w:val="000A2E10"/>
    <w:rsid w:val="000A3132"/>
    <w:rsid w:val="000A3786"/>
    <w:rsid w:val="000A3CA5"/>
    <w:rsid w:val="000A5660"/>
    <w:rsid w:val="000A5C32"/>
    <w:rsid w:val="000A7E66"/>
    <w:rsid w:val="000B1145"/>
    <w:rsid w:val="000B2EF7"/>
    <w:rsid w:val="000B3A12"/>
    <w:rsid w:val="000B40A3"/>
    <w:rsid w:val="000B4204"/>
    <w:rsid w:val="000B50F4"/>
    <w:rsid w:val="000B608B"/>
    <w:rsid w:val="000B6236"/>
    <w:rsid w:val="000B6DFE"/>
    <w:rsid w:val="000C1AC6"/>
    <w:rsid w:val="000C2298"/>
    <w:rsid w:val="000C2B82"/>
    <w:rsid w:val="000C3B67"/>
    <w:rsid w:val="000C4262"/>
    <w:rsid w:val="000C64B8"/>
    <w:rsid w:val="000C7C70"/>
    <w:rsid w:val="000D0176"/>
    <w:rsid w:val="000D02DC"/>
    <w:rsid w:val="000D06B4"/>
    <w:rsid w:val="000D09A1"/>
    <w:rsid w:val="000D4C0A"/>
    <w:rsid w:val="000D57E7"/>
    <w:rsid w:val="000D6CFC"/>
    <w:rsid w:val="000E1A38"/>
    <w:rsid w:val="000E1D47"/>
    <w:rsid w:val="000E3CC4"/>
    <w:rsid w:val="000E69EA"/>
    <w:rsid w:val="000E7761"/>
    <w:rsid w:val="000F131A"/>
    <w:rsid w:val="000F230F"/>
    <w:rsid w:val="000F2AF9"/>
    <w:rsid w:val="000F311E"/>
    <w:rsid w:val="000F3D0E"/>
    <w:rsid w:val="000F51E2"/>
    <w:rsid w:val="000F5257"/>
    <w:rsid w:val="000F5F26"/>
    <w:rsid w:val="000F79D4"/>
    <w:rsid w:val="000F7C77"/>
    <w:rsid w:val="000F7EFE"/>
    <w:rsid w:val="00100857"/>
    <w:rsid w:val="00101012"/>
    <w:rsid w:val="0010125D"/>
    <w:rsid w:val="001012D3"/>
    <w:rsid w:val="001013C6"/>
    <w:rsid w:val="00106E12"/>
    <w:rsid w:val="001101EC"/>
    <w:rsid w:val="00113002"/>
    <w:rsid w:val="001135BD"/>
    <w:rsid w:val="0011509D"/>
    <w:rsid w:val="00115249"/>
    <w:rsid w:val="00115FFB"/>
    <w:rsid w:val="0011706A"/>
    <w:rsid w:val="00117A88"/>
    <w:rsid w:val="001206F8"/>
    <w:rsid w:val="00120CBA"/>
    <w:rsid w:val="0012153E"/>
    <w:rsid w:val="00121BA2"/>
    <w:rsid w:val="00123454"/>
    <w:rsid w:val="00123680"/>
    <w:rsid w:val="001238DA"/>
    <w:rsid w:val="00124404"/>
    <w:rsid w:val="00125275"/>
    <w:rsid w:val="0012534D"/>
    <w:rsid w:val="00126900"/>
    <w:rsid w:val="00130ED8"/>
    <w:rsid w:val="00132A1B"/>
    <w:rsid w:val="0013417F"/>
    <w:rsid w:val="001343AF"/>
    <w:rsid w:val="001352C6"/>
    <w:rsid w:val="00135703"/>
    <w:rsid w:val="00137B0F"/>
    <w:rsid w:val="0014010C"/>
    <w:rsid w:val="00141D07"/>
    <w:rsid w:val="001435BA"/>
    <w:rsid w:val="00143961"/>
    <w:rsid w:val="00144B7E"/>
    <w:rsid w:val="00145DEE"/>
    <w:rsid w:val="001462C1"/>
    <w:rsid w:val="001505FA"/>
    <w:rsid w:val="00152EF4"/>
    <w:rsid w:val="00153528"/>
    <w:rsid w:val="0015762C"/>
    <w:rsid w:val="00157BB4"/>
    <w:rsid w:val="0016145A"/>
    <w:rsid w:val="001622CB"/>
    <w:rsid w:val="00162365"/>
    <w:rsid w:val="0016325C"/>
    <w:rsid w:val="0016596F"/>
    <w:rsid w:val="0016654B"/>
    <w:rsid w:val="0017055F"/>
    <w:rsid w:val="001721DB"/>
    <w:rsid w:val="00172DF2"/>
    <w:rsid w:val="001736D7"/>
    <w:rsid w:val="00173A55"/>
    <w:rsid w:val="00174F1A"/>
    <w:rsid w:val="0017598B"/>
    <w:rsid w:val="00176CAF"/>
    <w:rsid w:val="00177CEB"/>
    <w:rsid w:val="00177DC6"/>
    <w:rsid w:val="001801C6"/>
    <w:rsid w:val="00181672"/>
    <w:rsid w:val="001825D6"/>
    <w:rsid w:val="00182B63"/>
    <w:rsid w:val="00183297"/>
    <w:rsid w:val="001842CE"/>
    <w:rsid w:val="001876FC"/>
    <w:rsid w:val="00191AD9"/>
    <w:rsid w:val="00192163"/>
    <w:rsid w:val="00193650"/>
    <w:rsid w:val="00193D85"/>
    <w:rsid w:val="00194FCC"/>
    <w:rsid w:val="00195925"/>
    <w:rsid w:val="001968B4"/>
    <w:rsid w:val="0019768C"/>
    <w:rsid w:val="001A08AA"/>
    <w:rsid w:val="001A0BB8"/>
    <w:rsid w:val="001A2025"/>
    <w:rsid w:val="001A2850"/>
    <w:rsid w:val="001A32ED"/>
    <w:rsid w:val="001A3B72"/>
    <w:rsid w:val="001A5826"/>
    <w:rsid w:val="001A5BFD"/>
    <w:rsid w:val="001B0BB8"/>
    <w:rsid w:val="001B0CB9"/>
    <w:rsid w:val="001B0F03"/>
    <w:rsid w:val="001B6724"/>
    <w:rsid w:val="001B7E32"/>
    <w:rsid w:val="001B7EC7"/>
    <w:rsid w:val="001C0158"/>
    <w:rsid w:val="001C0CA6"/>
    <w:rsid w:val="001C19E0"/>
    <w:rsid w:val="001C23EA"/>
    <w:rsid w:val="001C2EA0"/>
    <w:rsid w:val="001C3D21"/>
    <w:rsid w:val="001C5082"/>
    <w:rsid w:val="001C6910"/>
    <w:rsid w:val="001C6E6F"/>
    <w:rsid w:val="001D1309"/>
    <w:rsid w:val="001D1D0B"/>
    <w:rsid w:val="001D2BB6"/>
    <w:rsid w:val="001D2EE3"/>
    <w:rsid w:val="001D35F9"/>
    <w:rsid w:val="001D50EA"/>
    <w:rsid w:val="001D51D5"/>
    <w:rsid w:val="001D5C48"/>
    <w:rsid w:val="001D64C3"/>
    <w:rsid w:val="001D72E5"/>
    <w:rsid w:val="001E0941"/>
    <w:rsid w:val="001E1749"/>
    <w:rsid w:val="001E1786"/>
    <w:rsid w:val="001E3B39"/>
    <w:rsid w:val="001E4210"/>
    <w:rsid w:val="001F0044"/>
    <w:rsid w:val="001F04BE"/>
    <w:rsid w:val="001F14DA"/>
    <w:rsid w:val="001F1E3A"/>
    <w:rsid w:val="001F6491"/>
    <w:rsid w:val="001F65EF"/>
    <w:rsid w:val="001F6A1E"/>
    <w:rsid w:val="001F6B21"/>
    <w:rsid w:val="001F6EBF"/>
    <w:rsid w:val="001F76B6"/>
    <w:rsid w:val="001F7CBE"/>
    <w:rsid w:val="002004AE"/>
    <w:rsid w:val="002023A0"/>
    <w:rsid w:val="002029BA"/>
    <w:rsid w:val="0020641B"/>
    <w:rsid w:val="00207234"/>
    <w:rsid w:val="002072A9"/>
    <w:rsid w:val="00207BC3"/>
    <w:rsid w:val="002100F0"/>
    <w:rsid w:val="0021141F"/>
    <w:rsid w:val="00211C4A"/>
    <w:rsid w:val="00212373"/>
    <w:rsid w:val="002138EA"/>
    <w:rsid w:val="00213CE2"/>
    <w:rsid w:val="002143B4"/>
    <w:rsid w:val="00214FBD"/>
    <w:rsid w:val="0021658A"/>
    <w:rsid w:val="00216D2C"/>
    <w:rsid w:val="00221DE2"/>
    <w:rsid w:val="002223A7"/>
    <w:rsid w:val="00222897"/>
    <w:rsid w:val="002238B3"/>
    <w:rsid w:val="00223FD4"/>
    <w:rsid w:val="00224B42"/>
    <w:rsid w:val="00225844"/>
    <w:rsid w:val="00232669"/>
    <w:rsid w:val="002334FB"/>
    <w:rsid w:val="00233B5D"/>
    <w:rsid w:val="00235394"/>
    <w:rsid w:val="00235A9B"/>
    <w:rsid w:val="00237DB8"/>
    <w:rsid w:val="00241D4B"/>
    <w:rsid w:val="00243646"/>
    <w:rsid w:val="00245D28"/>
    <w:rsid w:val="002519D3"/>
    <w:rsid w:val="0025215B"/>
    <w:rsid w:val="00253D07"/>
    <w:rsid w:val="002540F5"/>
    <w:rsid w:val="00257794"/>
    <w:rsid w:val="00260D30"/>
    <w:rsid w:val="0026179F"/>
    <w:rsid w:val="0026235A"/>
    <w:rsid w:val="00263458"/>
    <w:rsid w:val="00263AA3"/>
    <w:rsid w:val="00266983"/>
    <w:rsid w:val="00266B27"/>
    <w:rsid w:val="00267D1C"/>
    <w:rsid w:val="002706A5"/>
    <w:rsid w:val="00271416"/>
    <w:rsid w:val="00271EBE"/>
    <w:rsid w:val="00272E43"/>
    <w:rsid w:val="002738A3"/>
    <w:rsid w:val="00273A2F"/>
    <w:rsid w:val="00274E1A"/>
    <w:rsid w:val="002778C9"/>
    <w:rsid w:val="00280A83"/>
    <w:rsid w:val="00281F5B"/>
    <w:rsid w:val="00282213"/>
    <w:rsid w:val="00283275"/>
    <w:rsid w:val="00283354"/>
    <w:rsid w:val="00283EE1"/>
    <w:rsid w:val="00285744"/>
    <w:rsid w:val="00285979"/>
    <w:rsid w:val="00287935"/>
    <w:rsid w:val="00287D57"/>
    <w:rsid w:val="0029193E"/>
    <w:rsid w:val="00292870"/>
    <w:rsid w:val="0029323E"/>
    <w:rsid w:val="00293D4A"/>
    <w:rsid w:val="00294AA9"/>
    <w:rsid w:val="002975B0"/>
    <w:rsid w:val="00297A3F"/>
    <w:rsid w:val="00297D09"/>
    <w:rsid w:val="00297DCD"/>
    <w:rsid w:val="002A24D4"/>
    <w:rsid w:val="002A49F5"/>
    <w:rsid w:val="002A5BA3"/>
    <w:rsid w:val="002A64FA"/>
    <w:rsid w:val="002A6FE9"/>
    <w:rsid w:val="002A73DA"/>
    <w:rsid w:val="002B31D8"/>
    <w:rsid w:val="002B322F"/>
    <w:rsid w:val="002B3523"/>
    <w:rsid w:val="002B4231"/>
    <w:rsid w:val="002B429C"/>
    <w:rsid w:val="002B6CEF"/>
    <w:rsid w:val="002C3BFD"/>
    <w:rsid w:val="002C3F4C"/>
    <w:rsid w:val="002C42DC"/>
    <w:rsid w:val="002D06F5"/>
    <w:rsid w:val="002D0A18"/>
    <w:rsid w:val="002D16C7"/>
    <w:rsid w:val="002D1BDA"/>
    <w:rsid w:val="002D2DB3"/>
    <w:rsid w:val="002D4BB4"/>
    <w:rsid w:val="002D58F4"/>
    <w:rsid w:val="002D5A18"/>
    <w:rsid w:val="002D7191"/>
    <w:rsid w:val="002D758E"/>
    <w:rsid w:val="002E086B"/>
    <w:rsid w:val="002E0B58"/>
    <w:rsid w:val="002E348D"/>
    <w:rsid w:val="002E3D8C"/>
    <w:rsid w:val="002E5799"/>
    <w:rsid w:val="002E5C02"/>
    <w:rsid w:val="002E74A0"/>
    <w:rsid w:val="002E7A52"/>
    <w:rsid w:val="002F06F4"/>
    <w:rsid w:val="002F3FC8"/>
    <w:rsid w:val="002F4093"/>
    <w:rsid w:val="002F40CC"/>
    <w:rsid w:val="002F40F2"/>
    <w:rsid w:val="002F4510"/>
    <w:rsid w:val="002F63F6"/>
    <w:rsid w:val="00301E2D"/>
    <w:rsid w:val="003024F5"/>
    <w:rsid w:val="003033E6"/>
    <w:rsid w:val="00303A00"/>
    <w:rsid w:val="00306382"/>
    <w:rsid w:val="003065E0"/>
    <w:rsid w:val="00306AF7"/>
    <w:rsid w:val="00311037"/>
    <w:rsid w:val="0031257C"/>
    <w:rsid w:val="00313535"/>
    <w:rsid w:val="0031362C"/>
    <w:rsid w:val="003141ED"/>
    <w:rsid w:val="00320D41"/>
    <w:rsid w:val="003210CC"/>
    <w:rsid w:val="00321A7F"/>
    <w:rsid w:val="00326258"/>
    <w:rsid w:val="00327741"/>
    <w:rsid w:val="00327F64"/>
    <w:rsid w:val="00331F8D"/>
    <w:rsid w:val="003366B3"/>
    <w:rsid w:val="00337BA4"/>
    <w:rsid w:val="00337F57"/>
    <w:rsid w:val="00340216"/>
    <w:rsid w:val="003411C2"/>
    <w:rsid w:val="003426E8"/>
    <w:rsid w:val="0034354B"/>
    <w:rsid w:val="00343B5E"/>
    <w:rsid w:val="0034402C"/>
    <w:rsid w:val="00344071"/>
    <w:rsid w:val="0034698B"/>
    <w:rsid w:val="00350BFC"/>
    <w:rsid w:val="003525CA"/>
    <w:rsid w:val="003539BD"/>
    <w:rsid w:val="00355110"/>
    <w:rsid w:val="00363BE0"/>
    <w:rsid w:val="00364CFD"/>
    <w:rsid w:val="003654E0"/>
    <w:rsid w:val="00367724"/>
    <w:rsid w:val="003679F0"/>
    <w:rsid w:val="00372587"/>
    <w:rsid w:val="00374423"/>
    <w:rsid w:val="003777B1"/>
    <w:rsid w:val="00377B78"/>
    <w:rsid w:val="003807CD"/>
    <w:rsid w:val="003817F3"/>
    <w:rsid w:val="003834BC"/>
    <w:rsid w:val="003845DB"/>
    <w:rsid w:val="00384CB9"/>
    <w:rsid w:val="00385918"/>
    <w:rsid w:val="00386545"/>
    <w:rsid w:val="003879B3"/>
    <w:rsid w:val="00390087"/>
    <w:rsid w:val="00390DAC"/>
    <w:rsid w:val="00391098"/>
    <w:rsid w:val="0039507B"/>
    <w:rsid w:val="003953A4"/>
    <w:rsid w:val="00396CFC"/>
    <w:rsid w:val="003978CE"/>
    <w:rsid w:val="00397C1F"/>
    <w:rsid w:val="003A1D4E"/>
    <w:rsid w:val="003A1DEE"/>
    <w:rsid w:val="003A1FDE"/>
    <w:rsid w:val="003A3A79"/>
    <w:rsid w:val="003A5039"/>
    <w:rsid w:val="003A57DD"/>
    <w:rsid w:val="003A5980"/>
    <w:rsid w:val="003A5ED3"/>
    <w:rsid w:val="003A5FA4"/>
    <w:rsid w:val="003A6AAC"/>
    <w:rsid w:val="003A75FA"/>
    <w:rsid w:val="003B01B7"/>
    <w:rsid w:val="003B1CD7"/>
    <w:rsid w:val="003B1F59"/>
    <w:rsid w:val="003B25A7"/>
    <w:rsid w:val="003B2DD2"/>
    <w:rsid w:val="003B51B7"/>
    <w:rsid w:val="003B57EF"/>
    <w:rsid w:val="003B619A"/>
    <w:rsid w:val="003C05CB"/>
    <w:rsid w:val="003C1EBA"/>
    <w:rsid w:val="003C245B"/>
    <w:rsid w:val="003C24A7"/>
    <w:rsid w:val="003C2562"/>
    <w:rsid w:val="003C2DC1"/>
    <w:rsid w:val="003C3358"/>
    <w:rsid w:val="003C612F"/>
    <w:rsid w:val="003C7014"/>
    <w:rsid w:val="003D0233"/>
    <w:rsid w:val="003D0E75"/>
    <w:rsid w:val="003D1917"/>
    <w:rsid w:val="003D1F24"/>
    <w:rsid w:val="003D38D4"/>
    <w:rsid w:val="003D7308"/>
    <w:rsid w:val="003D7F2E"/>
    <w:rsid w:val="003E05F6"/>
    <w:rsid w:val="003E0E49"/>
    <w:rsid w:val="003E15E1"/>
    <w:rsid w:val="003F04F5"/>
    <w:rsid w:val="003F577A"/>
    <w:rsid w:val="003F6410"/>
    <w:rsid w:val="003F6879"/>
    <w:rsid w:val="00400ECD"/>
    <w:rsid w:val="00402612"/>
    <w:rsid w:val="004046D3"/>
    <w:rsid w:val="0040487B"/>
    <w:rsid w:val="004048A8"/>
    <w:rsid w:val="00404FB5"/>
    <w:rsid w:val="00405657"/>
    <w:rsid w:val="00405C6C"/>
    <w:rsid w:val="004111B7"/>
    <w:rsid w:val="00411BD0"/>
    <w:rsid w:val="004122F3"/>
    <w:rsid w:val="0041267F"/>
    <w:rsid w:val="0041441E"/>
    <w:rsid w:val="00415DFC"/>
    <w:rsid w:val="00416E8E"/>
    <w:rsid w:val="004204B0"/>
    <w:rsid w:val="00423398"/>
    <w:rsid w:val="00423A01"/>
    <w:rsid w:val="00423EF0"/>
    <w:rsid w:val="0042430E"/>
    <w:rsid w:val="004248CA"/>
    <w:rsid w:val="00424D7D"/>
    <w:rsid w:val="0042534B"/>
    <w:rsid w:val="004264A1"/>
    <w:rsid w:val="00427771"/>
    <w:rsid w:val="00433243"/>
    <w:rsid w:val="00434981"/>
    <w:rsid w:val="00437A85"/>
    <w:rsid w:val="00440887"/>
    <w:rsid w:val="004413C3"/>
    <w:rsid w:val="0044350E"/>
    <w:rsid w:val="00443A50"/>
    <w:rsid w:val="00444225"/>
    <w:rsid w:val="0044571B"/>
    <w:rsid w:val="00447202"/>
    <w:rsid w:val="00447743"/>
    <w:rsid w:val="00450D92"/>
    <w:rsid w:val="004512D7"/>
    <w:rsid w:val="00452680"/>
    <w:rsid w:val="00453A16"/>
    <w:rsid w:val="00453B85"/>
    <w:rsid w:val="004548FB"/>
    <w:rsid w:val="00456CC4"/>
    <w:rsid w:val="00457C47"/>
    <w:rsid w:val="004613DC"/>
    <w:rsid w:val="00461443"/>
    <w:rsid w:val="004621ED"/>
    <w:rsid w:val="00462B0E"/>
    <w:rsid w:val="004635A2"/>
    <w:rsid w:val="0046528C"/>
    <w:rsid w:val="004652DB"/>
    <w:rsid w:val="004656C2"/>
    <w:rsid w:val="0046762E"/>
    <w:rsid w:val="004679DA"/>
    <w:rsid w:val="0047072F"/>
    <w:rsid w:val="0047087E"/>
    <w:rsid w:val="00472D92"/>
    <w:rsid w:val="00473592"/>
    <w:rsid w:val="004739A5"/>
    <w:rsid w:val="00474829"/>
    <w:rsid w:val="00477038"/>
    <w:rsid w:val="0048132D"/>
    <w:rsid w:val="0048319E"/>
    <w:rsid w:val="0048430A"/>
    <w:rsid w:val="00485124"/>
    <w:rsid w:val="004856EC"/>
    <w:rsid w:val="004911C3"/>
    <w:rsid w:val="0049461C"/>
    <w:rsid w:val="00494954"/>
    <w:rsid w:val="00495F09"/>
    <w:rsid w:val="00496C45"/>
    <w:rsid w:val="0049712E"/>
    <w:rsid w:val="00497D93"/>
    <w:rsid w:val="004A07B6"/>
    <w:rsid w:val="004A0B94"/>
    <w:rsid w:val="004A17C7"/>
    <w:rsid w:val="004A463F"/>
    <w:rsid w:val="004A6044"/>
    <w:rsid w:val="004B11F5"/>
    <w:rsid w:val="004B329E"/>
    <w:rsid w:val="004B4B8F"/>
    <w:rsid w:val="004B7644"/>
    <w:rsid w:val="004C0650"/>
    <w:rsid w:val="004C2488"/>
    <w:rsid w:val="004C2FED"/>
    <w:rsid w:val="004D2002"/>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72E3"/>
    <w:rsid w:val="004E7B34"/>
    <w:rsid w:val="004F01B3"/>
    <w:rsid w:val="004F03DF"/>
    <w:rsid w:val="004F0477"/>
    <w:rsid w:val="004F0B5D"/>
    <w:rsid w:val="004F2032"/>
    <w:rsid w:val="004F4FB6"/>
    <w:rsid w:val="004F5376"/>
    <w:rsid w:val="004F6DA8"/>
    <w:rsid w:val="004F7676"/>
    <w:rsid w:val="004F7774"/>
    <w:rsid w:val="004F7A67"/>
    <w:rsid w:val="00501262"/>
    <w:rsid w:val="00502EE0"/>
    <w:rsid w:val="0050342D"/>
    <w:rsid w:val="00503690"/>
    <w:rsid w:val="005044DC"/>
    <w:rsid w:val="00504D6C"/>
    <w:rsid w:val="00504E73"/>
    <w:rsid w:val="00505BFA"/>
    <w:rsid w:val="00506B3C"/>
    <w:rsid w:val="00511BFD"/>
    <w:rsid w:val="00512400"/>
    <w:rsid w:val="00513526"/>
    <w:rsid w:val="00517B0A"/>
    <w:rsid w:val="00523A04"/>
    <w:rsid w:val="00525AF7"/>
    <w:rsid w:val="00526517"/>
    <w:rsid w:val="005278DA"/>
    <w:rsid w:val="00530877"/>
    <w:rsid w:val="0053129A"/>
    <w:rsid w:val="00531BBD"/>
    <w:rsid w:val="005334B6"/>
    <w:rsid w:val="00534833"/>
    <w:rsid w:val="005355EC"/>
    <w:rsid w:val="005412AC"/>
    <w:rsid w:val="00542A2B"/>
    <w:rsid w:val="0054401D"/>
    <w:rsid w:val="0055296B"/>
    <w:rsid w:val="00552CEF"/>
    <w:rsid w:val="00553551"/>
    <w:rsid w:val="00553FC5"/>
    <w:rsid w:val="005554FF"/>
    <w:rsid w:val="005577A8"/>
    <w:rsid w:val="00557AB9"/>
    <w:rsid w:val="00560212"/>
    <w:rsid w:val="00563111"/>
    <w:rsid w:val="005644F7"/>
    <w:rsid w:val="00564539"/>
    <w:rsid w:val="00566394"/>
    <w:rsid w:val="00566CE5"/>
    <w:rsid w:val="0056779D"/>
    <w:rsid w:val="00570D5C"/>
    <w:rsid w:val="0057129E"/>
    <w:rsid w:val="00571A70"/>
    <w:rsid w:val="00574599"/>
    <w:rsid w:val="00580522"/>
    <w:rsid w:val="0058133C"/>
    <w:rsid w:val="00581CFD"/>
    <w:rsid w:val="00584454"/>
    <w:rsid w:val="005844F7"/>
    <w:rsid w:val="005855FB"/>
    <w:rsid w:val="00585EEA"/>
    <w:rsid w:val="0058668B"/>
    <w:rsid w:val="00587410"/>
    <w:rsid w:val="00590E8E"/>
    <w:rsid w:val="00591037"/>
    <w:rsid w:val="005911A7"/>
    <w:rsid w:val="00591227"/>
    <w:rsid w:val="00592FDB"/>
    <w:rsid w:val="00593082"/>
    <w:rsid w:val="005937CB"/>
    <w:rsid w:val="00593800"/>
    <w:rsid w:val="00593DF7"/>
    <w:rsid w:val="00595291"/>
    <w:rsid w:val="00595B59"/>
    <w:rsid w:val="00596FEB"/>
    <w:rsid w:val="005A0EE1"/>
    <w:rsid w:val="005A1A52"/>
    <w:rsid w:val="005A2509"/>
    <w:rsid w:val="005A3426"/>
    <w:rsid w:val="005A4BA1"/>
    <w:rsid w:val="005A6683"/>
    <w:rsid w:val="005B168F"/>
    <w:rsid w:val="005B1F15"/>
    <w:rsid w:val="005B4416"/>
    <w:rsid w:val="005B51E7"/>
    <w:rsid w:val="005B72E3"/>
    <w:rsid w:val="005C1E9D"/>
    <w:rsid w:val="005C378C"/>
    <w:rsid w:val="005C39F2"/>
    <w:rsid w:val="005C6F8E"/>
    <w:rsid w:val="005C71A1"/>
    <w:rsid w:val="005D47F0"/>
    <w:rsid w:val="005D4C01"/>
    <w:rsid w:val="005D4D85"/>
    <w:rsid w:val="005D5815"/>
    <w:rsid w:val="005D7DD6"/>
    <w:rsid w:val="005E0178"/>
    <w:rsid w:val="005E22FA"/>
    <w:rsid w:val="005E5985"/>
    <w:rsid w:val="005E7768"/>
    <w:rsid w:val="005E7A03"/>
    <w:rsid w:val="005F0E97"/>
    <w:rsid w:val="005F344B"/>
    <w:rsid w:val="005F5067"/>
    <w:rsid w:val="005F5185"/>
    <w:rsid w:val="005F542B"/>
    <w:rsid w:val="005F55F8"/>
    <w:rsid w:val="005F7326"/>
    <w:rsid w:val="00600118"/>
    <w:rsid w:val="00600398"/>
    <w:rsid w:val="0060131E"/>
    <w:rsid w:val="00601791"/>
    <w:rsid w:val="00602509"/>
    <w:rsid w:val="0060469B"/>
    <w:rsid w:val="0060597B"/>
    <w:rsid w:val="0060756D"/>
    <w:rsid w:val="0061035E"/>
    <w:rsid w:val="00610659"/>
    <w:rsid w:val="00610943"/>
    <w:rsid w:val="0061225A"/>
    <w:rsid w:val="0061239F"/>
    <w:rsid w:val="00615E57"/>
    <w:rsid w:val="00616B2A"/>
    <w:rsid w:val="00617873"/>
    <w:rsid w:val="00617FCB"/>
    <w:rsid w:val="00626258"/>
    <w:rsid w:val="0062646C"/>
    <w:rsid w:val="00626A91"/>
    <w:rsid w:val="00626C82"/>
    <w:rsid w:val="00626F03"/>
    <w:rsid w:val="0063019F"/>
    <w:rsid w:val="006303A5"/>
    <w:rsid w:val="00630F44"/>
    <w:rsid w:val="00631F61"/>
    <w:rsid w:val="00634B08"/>
    <w:rsid w:val="00634F81"/>
    <w:rsid w:val="00637FA8"/>
    <w:rsid w:val="00644DBB"/>
    <w:rsid w:val="00645A26"/>
    <w:rsid w:val="006500BA"/>
    <w:rsid w:val="00650B3A"/>
    <w:rsid w:val="006510C5"/>
    <w:rsid w:val="006517D0"/>
    <w:rsid w:val="00651F1C"/>
    <w:rsid w:val="006523A0"/>
    <w:rsid w:val="00655CB9"/>
    <w:rsid w:val="006560F2"/>
    <w:rsid w:val="006567FE"/>
    <w:rsid w:val="0065702D"/>
    <w:rsid w:val="00663A2E"/>
    <w:rsid w:val="00664DFC"/>
    <w:rsid w:val="006674F2"/>
    <w:rsid w:val="006678C0"/>
    <w:rsid w:val="00667CC6"/>
    <w:rsid w:val="00667D32"/>
    <w:rsid w:val="00672061"/>
    <w:rsid w:val="00672E79"/>
    <w:rsid w:val="006730F5"/>
    <w:rsid w:val="006734F3"/>
    <w:rsid w:val="006735D4"/>
    <w:rsid w:val="00674C3D"/>
    <w:rsid w:val="00675876"/>
    <w:rsid w:val="00675AB9"/>
    <w:rsid w:val="00675FC2"/>
    <w:rsid w:val="006763A3"/>
    <w:rsid w:val="006767D6"/>
    <w:rsid w:val="00676E92"/>
    <w:rsid w:val="00677A8C"/>
    <w:rsid w:val="006801FF"/>
    <w:rsid w:val="00682513"/>
    <w:rsid w:val="00682CAF"/>
    <w:rsid w:val="00683AD7"/>
    <w:rsid w:val="00683CFF"/>
    <w:rsid w:val="0068514F"/>
    <w:rsid w:val="0068602A"/>
    <w:rsid w:val="00686CEE"/>
    <w:rsid w:val="00687FEB"/>
    <w:rsid w:val="00690EB8"/>
    <w:rsid w:val="006924F4"/>
    <w:rsid w:val="00695321"/>
    <w:rsid w:val="006A17A7"/>
    <w:rsid w:val="006A2E2F"/>
    <w:rsid w:val="006A64B6"/>
    <w:rsid w:val="006A7303"/>
    <w:rsid w:val="006A75CE"/>
    <w:rsid w:val="006B299E"/>
    <w:rsid w:val="006B3488"/>
    <w:rsid w:val="006B3F5E"/>
    <w:rsid w:val="006B4A2C"/>
    <w:rsid w:val="006B5848"/>
    <w:rsid w:val="006B5B31"/>
    <w:rsid w:val="006B78EC"/>
    <w:rsid w:val="006C02B3"/>
    <w:rsid w:val="006C0C30"/>
    <w:rsid w:val="006C172E"/>
    <w:rsid w:val="006C26CD"/>
    <w:rsid w:val="006C53FC"/>
    <w:rsid w:val="006C6839"/>
    <w:rsid w:val="006C7CF2"/>
    <w:rsid w:val="006D045A"/>
    <w:rsid w:val="006D0A99"/>
    <w:rsid w:val="006D1231"/>
    <w:rsid w:val="006D162E"/>
    <w:rsid w:val="006D212C"/>
    <w:rsid w:val="006D32B7"/>
    <w:rsid w:val="006D3A9B"/>
    <w:rsid w:val="006D3D8F"/>
    <w:rsid w:val="006D492C"/>
    <w:rsid w:val="006E068E"/>
    <w:rsid w:val="006E0979"/>
    <w:rsid w:val="006E3151"/>
    <w:rsid w:val="006E3321"/>
    <w:rsid w:val="006E3E83"/>
    <w:rsid w:val="006E516A"/>
    <w:rsid w:val="006E627C"/>
    <w:rsid w:val="006E7135"/>
    <w:rsid w:val="006E7980"/>
    <w:rsid w:val="006F14AD"/>
    <w:rsid w:val="006F241E"/>
    <w:rsid w:val="006F2A26"/>
    <w:rsid w:val="006F4844"/>
    <w:rsid w:val="006F5A4B"/>
    <w:rsid w:val="006F5AED"/>
    <w:rsid w:val="00702D49"/>
    <w:rsid w:val="00704E63"/>
    <w:rsid w:val="0070646B"/>
    <w:rsid w:val="00706D6D"/>
    <w:rsid w:val="007075F9"/>
    <w:rsid w:val="00710FE8"/>
    <w:rsid w:val="0071157A"/>
    <w:rsid w:val="00711711"/>
    <w:rsid w:val="00713114"/>
    <w:rsid w:val="00713A0F"/>
    <w:rsid w:val="00713B22"/>
    <w:rsid w:val="007211F2"/>
    <w:rsid w:val="00722152"/>
    <w:rsid w:val="00722727"/>
    <w:rsid w:val="00723729"/>
    <w:rsid w:val="00724174"/>
    <w:rsid w:val="00725E31"/>
    <w:rsid w:val="00727B47"/>
    <w:rsid w:val="00730404"/>
    <w:rsid w:val="00730619"/>
    <w:rsid w:val="007314A7"/>
    <w:rsid w:val="007322E9"/>
    <w:rsid w:val="0073346A"/>
    <w:rsid w:val="00734672"/>
    <w:rsid w:val="0073609F"/>
    <w:rsid w:val="00737559"/>
    <w:rsid w:val="00737C9D"/>
    <w:rsid w:val="0074015A"/>
    <w:rsid w:val="00740225"/>
    <w:rsid w:val="0074036F"/>
    <w:rsid w:val="007428EA"/>
    <w:rsid w:val="0074342C"/>
    <w:rsid w:val="00743747"/>
    <w:rsid w:val="00746214"/>
    <w:rsid w:val="007505CF"/>
    <w:rsid w:val="00750C89"/>
    <w:rsid w:val="00751D28"/>
    <w:rsid w:val="007528DE"/>
    <w:rsid w:val="00753075"/>
    <w:rsid w:val="00753704"/>
    <w:rsid w:val="00754F40"/>
    <w:rsid w:val="007564DC"/>
    <w:rsid w:val="00760510"/>
    <w:rsid w:val="007608A0"/>
    <w:rsid w:val="0077018D"/>
    <w:rsid w:val="007736C3"/>
    <w:rsid w:val="00773751"/>
    <w:rsid w:val="00774061"/>
    <w:rsid w:val="00774F4D"/>
    <w:rsid w:val="00777837"/>
    <w:rsid w:val="00777A9B"/>
    <w:rsid w:val="0078180F"/>
    <w:rsid w:val="00783083"/>
    <w:rsid w:val="00784117"/>
    <w:rsid w:val="007871AB"/>
    <w:rsid w:val="00791181"/>
    <w:rsid w:val="00791F2F"/>
    <w:rsid w:val="00792851"/>
    <w:rsid w:val="00793A0D"/>
    <w:rsid w:val="00795152"/>
    <w:rsid w:val="00797A66"/>
    <w:rsid w:val="007A0F93"/>
    <w:rsid w:val="007A199C"/>
    <w:rsid w:val="007A37D4"/>
    <w:rsid w:val="007A6702"/>
    <w:rsid w:val="007B1D2B"/>
    <w:rsid w:val="007B2D72"/>
    <w:rsid w:val="007B32BD"/>
    <w:rsid w:val="007B3939"/>
    <w:rsid w:val="007B54D9"/>
    <w:rsid w:val="007B55E9"/>
    <w:rsid w:val="007C1906"/>
    <w:rsid w:val="007C2918"/>
    <w:rsid w:val="007C2BF8"/>
    <w:rsid w:val="007C735D"/>
    <w:rsid w:val="007D0F9C"/>
    <w:rsid w:val="007D12E6"/>
    <w:rsid w:val="007D1B4C"/>
    <w:rsid w:val="007D4048"/>
    <w:rsid w:val="007D70BC"/>
    <w:rsid w:val="007D7702"/>
    <w:rsid w:val="007E0CEA"/>
    <w:rsid w:val="007E146C"/>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8F5"/>
    <w:rsid w:val="008068D7"/>
    <w:rsid w:val="00812306"/>
    <w:rsid w:val="00812454"/>
    <w:rsid w:val="008141ED"/>
    <w:rsid w:val="008158BF"/>
    <w:rsid w:val="00816505"/>
    <w:rsid w:val="008170B6"/>
    <w:rsid w:val="00820B6F"/>
    <w:rsid w:val="00820C50"/>
    <w:rsid w:val="00820D6D"/>
    <w:rsid w:val="00821C02"/>
    <w:rsid w:val="00822512"/>
    <w:rsid w:val="00823D02"/>
    <w:rsid w:val="00824915"/>
    <w:rsid w:val="008253A1"/>
    <w:rsid w:val="0082598F"/>
    <w:rsid w:val="008271AF"/>
    <w:rsid w:val="00831EDD"/>
    <w:rsid w:val="00833C74"/>
    <w:rsid w:val="008357E1"/>
    <w:rsid w:val="00835959"/>
    <w:rsid w:val="00835C9B"/>
    <w:rsid w:val="008365CB"/>
    <w:rsid w:val="00836673"/>
    <w:rsid w:val="00836C99"/>
    <w:rsid w:val="00837A0E"/>
    <w:rsid w:val="00837DCE"/>
    <w:rsid w:val="00843688"/>
    <w:rsid w:val="008436C2"/>
    <w:rsid w:val="00844166"/>
    <w:rsid w:val="008455DA"/>
    <w:rsid w:val="00846C23"/>
    <w:rsid w:val="00847290"/>
    <w:rsid w:val="0084749E"/>
    <w:rsid w:val="00851F1A"/>
    <w:rsid w:val="00852DC7"/>
    <w:rsid w:val="00852E8B"/>
    <w:rsid w:val="0085324A"/>
    <w:rsid w:val="00854707"/>
    <w:rsid w:val="00854922"/>
    <w:rsid w:val="008549B7"/>
    <w:rsid w:val="00855519"/>
    <w:rsid w:val="008564AB"/>
    <w:rsid w:val="00857B52"/>
    <w:rsid w:val="0086225D"/>
    <w:rsid w:val="00864672"/>
    <w:rsid w:val="00865C83"/>
    <w:rsid w:val="0086760C"/>
    <w:rsid w:val="00870E63"/>
    <w:rsid w:val="00874487"/>
    <w:rsid w:val="008744E1"/>
    <w:rsid w:val="0087462F"/>
    <w:rsid w:val="008755BF"/>
    <w:rsid w:val="0087757C"/>
    <w:rsid w:val="00880165"/>
    <w:rsid w:val="00882638"/>
    <w:rsid w:val="008840E5"/>
    <w:rsid w:val="008846E5"/>
    <w:rsid w:val="00885897"/>
    <w:rsid w:val="008869DB"/>
    <w:rsid w:val="00886B58"/>
    <w:rsid w:val="00886DE8"/>
    <w:rsid w:val="008872EC"/>
    <w:rsid w:val="00887E30"/>
    <w:rsid w:val="00890FCC"/>
    <w:rsid w:val="00891F15"/>
    <w:rsid w:val="008922CD"/>
    <w:rsid w:val="008926E7"/>
    <w:rsid w:val="0089451F"/>
    <w:rsid w:val="008966B0"/>
    <w:rsid w:val="00897C94"/>
    <w:rsid w:val="008A0232"/>
    <w:rsid w:val="008A09C9"/>
    <w:rsid w:val="008A4A79"/>
    <w:rsid w:val="008A5C1E"/>
    <w:rsid w:val="008A5CEE"/>
    <w:rsid w:val="008A5E57"/>
    <w:rsid w:val="008A618D"/>
    <w:rsid w:val="008A6519"/>
    <w:rsid w:val="008A6F41"/>
    <w:rsid w:val="008B382D"/>
    <w:rsid w:val="008B45AE"/>
    <w:rsid w:val="008B4B62"/>
    <w:rsid w:val="008C2DF1"/>
    <w:rsid w:val="008C3442"/>
    <w:rsid w:val="008C60E9"/>
    <w:rsid w:val="008C64E5"/>
    <w:rsid w:val="008D134C"/>
    <w:rsid w:val="008D37E5"/>
    <w:rsid w:val="008D3EF2"/>
    <w:rsid w:val="008D3F4C"/>
    <w:rsid w:val="008E092C"/>
    <w:rsid w:val="008E2699"/>
    <w:rsid w:val="008E67A6"/>
    <w:rsid w:val="008E6F17"/>
    <w:rsid w:val="008E7586"/>
    <w:rsid w:val="008E7C70"/>
    <w:rsid w:val="008F0C10"/>
    <w:rsid w:val="008F15B0"/>
    <w:rsid w:val="008F16F7"/>
    <w:rsid w:val="008F1E6E"/>
    <w:rsid w:val="008F2E68"/>
    <w:rsid w:val="008F3200"/>
    <w:rsid w:val="008F3D49"/>
    <w:rsid w:val="008F4D17"/>
    <w:rsid w:val="008F7610"/>
    <w:rsid w:val="00900F8E"/>
    <w:rsid w:val="00901327"/>
    <w:rsid w:val="00902935"/>
    <w:rsid w:val="00902989"/>
    <w:rsid w:val="0090310C"/>
    <w:rsid w:val="0090345E"/>
    <w:rsid w:val="00904188"/>
    <w:rsid w:val="0090475A"/>
    <w:rsid w:val="0091027F"/>
    <w:rsid w:val="009131D2"/>
    <w:rsid w:val="009140D0"/>
    <w:rsid w:val="00914E16"/>
    <w:rsid w:val="009163C9"/>
    <w:rsid w:val="00916DA0"/>
    <w:rsid w:val="00917279"/>
    <w:rsid w:val="0092069E"/>
    <w:rsid w:val="00921B4A"/>
    <w:rsid w:val="00921E94"/>
    <w:rsid w:val="00922FE8"/>
    <w:rsid w:val="00923BA8"/>
    <w:rsid w:val="009247DA"/>
    <w:rsid w:val="009250EB"/>
    <w:rsid w:val="0092517E"/>
    <w:rsid w:val="0092522E"/>
    <w:rsid w:val="00927CD1"/>
    <w:rsid w:val="00930751"/>
    <w:rsid w:val="00930B62"/>
    <w:rsid w:val="009321F8"/>
    <w:rsid w:val="0093527F"/>
    <w:rsid w:val="00935B8D"/>
    <w:rsid w:val="00936088"/>
    <w:rsid w:val="0093767B"/>
    <w:rsid w:val="00937C4C"/>
    <w:rsid w:val="00941030"/>
    <w:rsid w:val="00943961"/>
    <w:rsid w:val="00944B13"/>
    <w:rsid w:val="00947EE3"/>
    <w:rsid w:val="00950738"/>
    <w:rsid w:val="0095258F"/>
    <w:rsid w:val="00952E18"/>
    <w:rsid w:val="00953AC5"/>
    <w:rsid w:val="00955E3C"/>
    <w:rsid w:val="00957C7D"/>
    <w:rsid w:val="00961AD1"/>
    <w:rsid w:val="0096729C"/>
    <w:rsid w:val="00970257"/>
    <w:rsid w:val="00971B09"/>
    <w:rsid w:val="00971BCF"/>
    <w:rsid w:val="00973F18"/>
    <w:rsid w:val="00974C97"/>
    <w:rsid w:val="00975596"/>
    <w:rsid w:val="009773EF"/>
    <w:rsid w:val="00983910"/>
    <w:rsid w:val="00983AB1"/>
    <w:rsid w:val="009848C6"/>
    <w:rsid w:val="009849B6"/>
    <w:rsid w:val="009874BF"/>
    <w:rsid w:val="00987A22"/>
    <w:rsid w:val="009935B1"/>
    <w:rsid w:val="009937BC"/>
    <w:rsid w:val="00995666"/>
    <w:rsid w:val="0099677F"/>
    <w:rsid w:val="00997DCC"/>
    <w:rsid w:val="009A019A"/>
    <w:rsid w:val="009A1431"/>
    <w:rsid w:val="009A1620"/>
    <w:rsid w:val="009A284D"/>
    <w:rsid w:val="009A2E30"/>
    <w:rsid w:val="009A5E57"/>
    <w:rsid w:val="009A78D0"/>
    <w:rsid w:val="009A7C3E"/>
    <w:rsid w:val="009B0002"/>
    <w:rsid w:val="009B03DE"/>
    <w:rsid w:val="009B09A9"/>
    <w:rsid w:val="009B286C"/>
    <w:rsid w:val="009B3432"/>
    <w:rsid w:val="009B3D06"/>
    <w:rsid w:val="009B45F6"/>
    <w:rsid w:val="009B485D"/>
    <w:rsid w:val="009B7169"/>
    <w:rsid w:val="009C0351"/>
    <w:rsid w:val="009C0727"/>
    <w:rsid w:val="009C1386"/>
    <w:rsid w:val="009C65C6"/>
    <w:rsid w:val="009C7B47"/>
    <w:rsid w:val="009D0669"/>
    <w:rsid w:val="009D13F8"/>
    <w:rsid w:val="009D1DE4"/>
    <w:rsid w:val="009D1E93"/>
    <w:rsid w:val="009D3AF0"/>
    <w:rsid w:val="009D440F"/>
    <w:rsid w:val="009D6605"/>
    <w:rsid w:val="009D6C8D"/>
    <w:rsid w:val="009D70D7"/>
    <w:rsid w:val="009D7BDC"/>
    <w:rsid w:val="009D7D4D"/>
    <w:rsid w:val="009E1E8A"/>
    <w:rsid w:val="009E20A7"/>
    <w:rsid w:val="009E3F44"/>
    <w:rsid w:val="009E5C56"/>
    <w:rsid w:val="009E6A70"/>
    <w:rsid w:val="009E7093"/>
    <w:rsid w:val="009F02A9"/>
    <w:rsid w:val="009F05C8"/>
    <w:rsid w:val="009F0677"/>
    <w:rsid w:val="009F2E88"/>
    <w:rsid w:val="009F31E7"/>
    <w:rsid w:val="009F4419"/>
    <w:rsid w:val="009F4900"/>
    <w:rsid w:val="009F4E87"/>
    <w:rsid w:val="009F6C80"/>
    <w:rsid w:val="00A0033C"/>
    <w:rsid w:val="00A0181F"/>
    <w:rsid w:val="00A01BCB"/>
    <w:rsid w:val="00A02716"/>
    <w:rsid w:val="00A02F86"/>
    <w:rsid w:val="00A03F14"/>
    <w:rsid w:val="00A0491A"/>
    <w:rsid w:val="00A05586"/>
    <w:rsid w:val="00A06301"/>
    <w:rsid w:val="00A07000"/>
    <w:rsid w:val="00A10806"/>
    <w:rsid w:val="00A108E3"/>
    <w:rsid w:val="00A10CE2"/>
    <w:rsid w:val="00A11292"/>
    <w:rsid w:val="00A12436"/>
    <w:rsid w:val="00A14B60"/>
    <w:rsid w:val="00A15614"/>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3036D"/>
    <w:rsid w:val="00A31BCD"/>
    <w:rsid w:val="00A330E5"/>
    <w:rsid w:val="00A35C04"/>
    <w:rsid w:val="00A36BB9"/>
    <w:rsid w:val="00A407B9"/>
    <w:rsid w:val="00A41D7A"/>
    <w:rsid w:val="00A4315C"/>
    <w:rsid w:val="00A43216"/>
    <w:rsid w:val="00A465E6"/>
    <w:rsid w:val="00A47E1E"/>
    <w:rsid w:val="00A51154"/>
    <w:rsid w:val="00A523FE"/>
    <w:rsid w:val="00A5255F"/>
    <w:rsid w:val="00A541FF"/>
    <w:rsid w:val="00A553C3"/>
    <w:rsid w:val="00A56314"/>
    <w:rsid w:val="00A566E3"/>
    <w:rsid w:val="00A56E39"/>
    <w:rsid w:val="00A5789F"/>
    <w:rsid w:val="00A57E2A"/>
    <w:rsid w:val="00A6192D"/>
    <w:rsid w:val="00A620C3"/>
    <w:rsid w:val="00A62B59"/>
    <w:rsid w:val="00A64E33"/>
    <w:rsid w:val="00A65B82"/>
    <w:rsid w:val="00A67359"/>
    <w:rsid w:val="00A677E7"/>
    <w:rsid w:val="00A7008F"/>
    <w:rsid w:val="00A71A7C"/>
    <w:rsid w:val="00A73A0F"/>
    <w:rsid w:val="00A748BF"/>
    <w:rsid w:val="00A7521F"/>
    <w:rsid w:val="00A76A39"/>
    <w:rsid w:val="00A7768F"/>
    <w:rsid w:val="00A77F8E"/>
    <w:rsid w:val="00A81B15"/>
    <w:rsid w:val="00A829DD"/>
    <w:rsid w:val="00A83274"/>
    <w:rsid w:val="00A84782"/>
    <w:rsid w:val="00A84E1D"/>
    <w:rsid w:val="00A85DBC"/>
    <w:rsid w:val="00A91C24"/>
    <w:rsid w:val="00A92763"/>
    <w:rsid w:val="00A92786"/>
    <w:rsid w:val="00A94919"/>
    <w:rsid w:val="00A96C01"/>
    <w:rsid w:val="00A97373"/>
    <w:rsid w:val="00A97642"/>
    <w:rsid w:val="00A97789"/>
    <w:rsid w:val="00AA0704"/>
    <w:rsid w:val="00AA0B1D"/>
    <w:rsid w:val="00AA127E"/>
    <w:rsid w:val="00AA1719"/>
    <w:rsid w:val="00AA4586"/>
    <w:rsid w:val="00AA45AB"/>
    <w:rsid w:val="00AA5EFC"/>
    <w:rsid w:val="00AA61F0"/>
    <w:rsid w:val="00AA63BB"/>
    <w:rsid w:val="00AA7285"/>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5B2C"/>
    <w:rsid w:val="00AC731B"/>
    <w:rsid w:val="00AC7EEE"/>
    <w:rsid w:val="00AD2171"/>
    <w:rsid w:val="00AD3AF2"/>
    <w:rsid w:val="00AD50AB"/>
    <w:rsid w:val="00AD586F"/>
    <w:rsid w:val="00AE2A09"/>
    <w:rsid w:val="00AE2CA3"/>
    <w:rsid w:val="00AE2F9C"/>
    <w:rsid w:val="00AE5778"/>
    <w:rsid w:val="00AE60BF"/>
    <w:rsid w:val="00AE74B6"/>
    <w:rsid w:val="00AE78E1"/>
    <w:rsid w:val="00AF043E"/>
    <w:rsid w:val="00AF04BE"/>
    <w:rsid w:val="00AF2290"/>
    <w:rsid w:val="00AF5A64"/>
    <w:rsid w:val="00AF5BFA"/>
    <w:rsid w:val="00AF5CD1"/>
    <w:rsid w:val="00AF5F7B"/>
    <w:rsid w:val="00B00D97"/>
    <w:rsid w:val="00B03102"/>
    <w:rsid w:val="00B10D78"/>
    <w:rsid w:val="00B11125"/>
    <w:rsid w:val="00B11F53"/>
    <w:rsid w:val="00B124AE"/>
    <w:rsid w:val="00B1262E"/>
    <w:rsid w:val="00B1532A"/>
    <w:rsid w:val="00B174D3"/>
    <w:rsid w:val="00B1773B"/>
    <w:rsid w:val="00B177E5"/>
    <w:rsid w:val="00B17DAA"/>
    <w:rsid w:val="00B20319"/>
    <w:rsid w:val="00B20E7E"/>
    <w:rsid w:val="00B21085"/>
    <w:rsid w:val="00B2156A"/>
    <w:rsid w:val="00B21FA9"/>
    <w:rsid w:val="00B24094"/>
    <w:rsid w:val="00B24699"/>
    <w:rsid w:val="00B24981"/>
    <w:rsid w:val="00B25146"/>
    <w:rsid w:val="00B256FD"/>
    <w:rsid w:val="00B26A9C"/>
    <w:rsid w:val="00B273A0"/>
    <w:rsid w:val="00B2759C"/>
    <w:rsid w:val="00B27F9F"/>
    <w:rsid w:val="00B300C3"/>
    <w:rsid w:val="00B3269E"/>
    <w:rsid w:val="00B33CBD"/>
    <w:rsid w:val="00B34E41"/>
    <w:rsid w:val="00B35290"/>
    <w:rsid w:val="00B35EC1"/>
    <w:rsid w:val="00B379D8"/>
    <w:rsid w:val="00B42368"/>
    <w:rsid w:val="00B4489D"/>
    <w:rsid w:val="00B46F93"/>
    <w:rsid w:val="00B47B0D"/>
    <w:rsid w:val="00B50115"/>
    <w:rsid w:val="00B51542"/>
    <w:rsid w:val="00B518B8"/>
    <w:rsid w:val="00B51A82"/>
    <w:rsid w:val="00B52434"/>
    <w:rsid w:val="00B52871"/>
    <w:rsid w:val="00B55747"/>
    <w:rsid w:val="00B628C7"/>
    <w:rsid w:val="00B62CD7"/>
    <w:rsid w:val="00B63025"/>
    <w:rsid w:val="00B636EE"/>
    <w:rsid w:val="00B664FC"/>
    <w:rsid w:val="00B7246B"/>
    <w:rsid w:val="00B73609"/>
    <w:rsid w:val="00B74F38"/>
    <w:rsid w:val="00B76F97"/>
    <w:rsid w:val="00B80259"/>
    <w:rsid w:val="00B80878"/>
    <w:rsid w:val="00B80F90"/>
    <w:rsid w:val="00B82065"/>
    <w:rsid w:val="00B8225E"/>
    <w:rsid w:val="00B8446C"/>
    <w:rsid w:val="00B85EF6"/>
    <w:rsid w:val="00B86A76"/>
    <w:rsid w:val="00B90CCE"/>
    <w:rsid w:val="00B90F8B"/>
    <w:rsid w:val="00B91168"/>
    <w:rsid w:val="00B93282"/>
    <w:rsid w:val="00B93544"/>
    <w:rsid w:val="00B93B20"/>
    <w:rsid w:val="00B94B93"/>
    <w:rsid w:val="00B95C86"/>
    <w:rsid w:val="00B97B89"/>
    <w:rsid w:val="00BA39EF"/>
    <w:rsid w:val="00BA68D1"/>
    <w:rsid w:val="00BA76A1"/>
    <w:rsid w:val="00BB145D"/>
    <w:rsid w:val="00BB2F88"/>
    <w:rsid w:val="00BB3DBB"/>
    <w:rsid w:val="00BB4F1F"/>
    <w:rsid w:val="00BB5041"/>
    <w:rsid w:val="00BB5825"/>
    <w:rsid w:val="00BB7888"/>
    <w:rsid w:val="00BC0EDD"/>
    <w:rsid w:val="00BC2087"/>
    <w:rsid w:val="00BC2A3D"/>
    <w:rsid w:val="00BC2C31"/>
    <w:rsid w:val="00BC3E0F"/>
    <w:rsid w:val="00BC4AC9"/>
    <w:rsid w:val="00BC51CA"/>
    <w:rsid w:val="00BC6CA4"/>
    <w:rsid w:val="00BD2A6B"/>
    <w:rsid w:val="00BD3ABD"/>
    <w:rsid w:val="00BD4824"/>
    <w:rsid w:val="00BD53B9"/>
    <w:rsid w:val="00BD6500"/>
    <w:rsid w:val="00BD6750"/>
    <w:rsid w:val="00BD699E"/>
    <w:rsid w:val="00BD78A8"/>
    <w:rsid w:val="00BD791E"/>
    <w:rsid w:val="00BE3815"/>
    <w:rsid w:val="00BE3E9E"/>
    <w:rsid w:val="00BE6ED7"/>
    <w:rsid w:val="00BE7998"/>
    <w:rsid w:val="00BE7DB4"/>
    <w:rsid w:val="00BF1050"/>
    <w:rsid w:val="00BF107C"/>
    <w:rsid w:val="00BF1F30"/>
    <w:rsid w:val="00BF47B0"/>
    <w:rsid w:val="00BF5D11"/>
    <w:rsid w:val="00BF7854"/>
    <w:rsid w:val="00C00C4E"/>
    <w:rsid w:val="00C02377"/>
    <w:rsid w:val="00C02444"/>
    <w:rsid w:val="00C054AE"/>
    <w:rsid w:val="00C057E1"/>
    <w:rsid w:val="00C05B13"/>
    <w:rsid w:val="00C06A37"/>
    <w:rsid w:val="00C10793"/>
    <w:rsid w:val="00C127A3"/>
    <w:rsid w:val="00C12BF6"/>
    <w:rsid w:val="00C12E8F"/>
    <w:rsid w:val="00C13FD6"/>
    <w:rsid w:val="00C1485B"/>
    <w:rsid w:val="00C155CD"/>
    <w:rsid w:val="00C17D43"/>
    <w:rsid w:val="00C21BF9"/>
    <w:rsid w:val="00C25727"/>
    <w:rsid w:val="00C25E66"/>
    <w:rsid w:val="00C25F18"/>
    <w:rsid w:val="00C26B3B"/>
    <w:rsid w:val="00C26E91"/>
    <w:rsid w:val="00C276C6"/>
    <w:rsid w:val="00C30821"/>
    <w:rsid w:val="00C31179"/>
    <w:rsid w:val="00C31D72"/>
    <w:rsid w:val="00C330F1"/>
    <w:rsid w:val="00C33F66"/>
    <w:rsid w:val="00C3555A"/>
    <w:rsid w:val="00C359F8"/>
    <w:rsid w:val="00C37CD2"/>
    <w:rsid w:val="00C42414"/>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7254C"/>
    <w:rsid w:val="00C73C41"/>
    <w:rsid w:val="00C74B8E"/>
    <w:rsid w:val="00C76766"/>
    <w:rsid w:val="00C773D8"/>
    <w:rsid w:val="00C77642"/>
    <w:rsid w:val="00C77C0E"/>
    <w:rsid w:val="00C817AD"/>
    <w:rsid w:val="00C81936"/>
    <w:rsid w:val="00C81DF2"/>
    <w:rsid w:val="00C82707"/>
    <w:rsid w:val="00C83C97"/>
    <w:rsid w:val="00C83D22"/>
    <w:rsid w:val="00C845C8"/>
    <w:rsid w:val="00C8492D"/>
    <w:rsid w:val="00C8744B"/>
    <w:rsid w:val="00C9049A"/>
    <w:rsid w:val="00C90B87"/>
    <w:rsid w:val="00C91602"/>
    <w:rsid w:val="00C92E43"/>
    <w:rsid w:val="00C93BB1"/>
    <w:rsid w:val="00C96695"/>
    <w:rsid w:val="00C96B43"/>
    <w:rsid w:val="00CA050F"/>
    <w:rsid w:val="00CA20D3"/>
    <w:rsid w:val="00CA2978"/>
    <w:rsid w:val="00CA297B"/>
    <w:rsid w:val="00CA36D0"/>
    <w:rsid w:val="00CA4548"/>
    <w:rsid w:val="00CA5FFD"/>
    <w:rsid w:val="00CA72EF"/>
    <w:rsid w:val="00CB0276"/>
    <w:rsid w:val="00CB0504"/>
    <w:rsid w:val="00CB0CCC"/>
    <w:rsid w:val="00CB1674"/>
    <w:rsid w:val="00CB1CF6"/>
    <w:rsid w:val="00CB39F4"/>
    <w:rsid w:val="00CB4954"/>
    <w:rsid w:val="00CB5A7C"/>
    <w:rsid w:val="00CB6EC9"/>
    <w:rsid w:val="00CC13F8"/>
    <w:rsid w:val="00CC3BFC"/>
    <w:rsid w:val="00CC4A4E"/>
    <w:rsid w:val="00CC599C"/>
    <w:rsid w:val="00CD0D67"/>
    <w:rsid w:val="00CD174E"/>
    <w:rsid w:val="00CD26E8"/>
    <w:rsid w:val="00CD2E36"/>
    <w:rsid w:val="00CD6646"/>
    <w:rsid w:val="00CE083C"/>
    <w:rsid w:val="00CE09A3"/>
    <w:rsid w:val="00CE09E9"/>
    <w:rsid w:val="00CE0EBB"/>
    <w:rsid w:val="00CE3E2D"/>
    <w:rsid w:val="00CE530F"/>
    <w:rsid w:val="00CE7B9B"/>
    <w:rsid w:val="00CF3325"/>
    <w:rsid w:val="00CF4A8F"/>
    <w:rsid w:val="00CF675E"/>
    <w:rsid w:val="00CF70F6"/>
    <w:rsid w:val="00D005C0"/>
    <w:rsid w:val="00D00D9F"/>
    <w:rsid w:val="00D02C9A"/>
    <w:rsid w:val="00D03572"/>
    <w:rsid w:val="00D049DE"/>
    <w:rsid w:val="00D10B52"/>
    <w:rsid w:val="00D11196"/>
    <w:rsid w:val="00D15400"/>
    <w:rsid w:val="00D177F3"/>
    <w:rsid w:val="00D207F3"/>
    <w:rsid w:val="00D20B50"/>
    <w:rsid w:val="00D229EE"/>
    <w:rsid w:val="00D24D0D"/>
    <w:rsid w:val="00D33E2D"/>
    <w:rsid w:val="00D3791E"/>
    <w:rsid w:val="00D411A8"/>
    <w:rsid w:val="00D41BE8"/>
    <w:rsid w:val="00D42F6A"/>
    <w:rsid w:val="00D4313E"/>
    <w:rsid w:val="00D45C6E"/>
    <w:rsid w:val="00D45FD5"/>
    <w:rsid w:val="00D504B3"/>
    <w:rsid w:val="00D50DE6"/>
    <w:rsid w:val="00D520E4"/>
    <w:rsid w:val="00D52A8E"/>
    <w:rsid w:val="00D56E27"/>
    <w:rsid w:val="00D57631"/>
    <w:rsid w:val="00D57DFA"/>
    <w:rsid w:val="00D61AF7"/>
    <w:rsid w:val="00D61CAE"/>
    <w:rsid w:val="00D61CD0"/>
    <w:rsid w:val="00D62A55"/>
    <w:rsid w:val="00D62E03"/>
    <w:rsid w:val="00D65E10"/>
    <w:rsid w:val="00D674BD"/>
    <w:rsid w:val="00D71CD6"/>
    <w:rsid w:val="00D72624"/>
    <w:rsid w:val="00D736BF"/>
    <w:rsid w:val="00D740AB"/>
    <w:rsid w:val="00D74885"/>
    <w:rsid w:val="00D752BE"/>
    <w:rsid w:val="00D7736B"/>
    <w:rsid w:val="00D803C1"/>
    <w:rsid w:val="00D81137"/>
    <w:rsid w:val="00D82109"/>
    <w:rsid w:val="00D821DB"/>
    <w:rsid w:val="00D83E27"/>
    <w:rsid w:val="00D83EC7"/>
    <w:rsid w:val="00D85D59"/>
    <w:rsid w:val="00D86FF5"/>
    <w:rsid w:val="00D871B7"/>
    <w:rsid w:val="00D907EF"/>
    <w:rsid w:val="00D9255B"/>
    <w:rsid w:val="00D94B48"/>
    <w:rsid w:val="00D950AF"/>
    <w:rsid w:val="00D96736"/>
    <w:rsid w:val="00D96FB7"/>
    <w:rsid w:val="00D97A63"/>
    <w:rsid w:val="00DA1099"/>
    <w:rsid w:val="00DA2808"/>
    <w:rsid w:val="00DA30A4"/>
    <w:rsid w:val="00DA4957"/>
    <w:rsid w:val="00DA6B4A"/>
    <w:rsid w:val="00DA71E4"/>
    <w:rsid w:val="00DA7D98"/>
    <w:rsid w:val="00DB1CC4"/>
    <w:rsid w:val="00DB4824"/>
    <w:rsid w:val="00DB6D1D"/>
    <w:rsid w:val="00DB7333"/>
    <w:rsid w:val="00DB767A"/>
    <w:rsid w:val="00DC1E8B"/>
    <w:rsid w:val="00DC4735"/>
    <w:rsid w:val="00DC74A5"/>
    <w:rsid w:val="00DC7743"/>
    <w:rsid w:val="00DC78E0"/>
    <w:rsid w:val="00DD00FC"/>
    <w:rsid w:val="00DD0C2C"/>
    <w:rsid w:val="00DD16D5"/>
    <w:rsid w:val="00DD1AA4"/>
    <w:rsid w:val="00DD2BD0"/>
    <w:rsid w:val="00DD35C0"/>
    <w:rsid w:val="00DD41ED"/>
    <w:rsid w:val="00DD4F55"/>
    <w:rsid w:val="00DD5024"/>
    <w:rsid w:val="00DD51C0"/>
    <w:rsid w:val="00DD55A4"/>
    <w:rsid w:val="00DD6C37"/>
    <w:rsid w:val="00DD7964"/>
    <w:rsid w:val="00DD7F72"/>
    <w:rsid w:val="00DE075A"/>
    <w:rsid w:val="00DE0903"/>
    <w:rsid w:val="00DE1E86"/>
    <w:rsid w:val="00DE259B"/>
    <w:rsid w:val="00DE32EC"/>
    <w:rsid w:val="00DE33B3"/>
    <w:rsid w:val="00DE34B6"/>
    <w:rsid w:val="00DE3E5A"/>
    <w:rsid w:val="00DE58E6"/>
    <w:rsid w:val="00DE6138"/>
    <w:rsid w:val="00DE6537"/>
    <w:rsid w:val="00DF58AC"/>
    <w:rsid w:val="00DF75BF"/>
    <w:rsid w:val="00E03C92"/>
    <w:rsid w:val="00E03D92"/>
    <w:rsid w:val="00E046ED"/>
    <w:rsid w:val="00E068DB"/>
    <w:rsid w:val="00E07645"/>
    <w:rsid w:val="00E07F1A"/>
    <w:rsid w:val="00E1045E"/>
    <w:rsid w:val="00E10DC6"/>
    <w:rsid w:val="00E12829"/>
    <w:rsid w:val="00E1299C"/>
    <w:rsid w:val="00E14A8C"/>
    <w:rsid w:val="00E1792D"/>
    <w:rsid w:val="00E20FB0"/>
    <w:rsid w:val="00E212BD"/>
    <w:rsid w:val="00E22AB6"/>
    <w:rsid w:val="00E24452"/>
    <w:rsid w:val="00E24FDB"/>
    <w:rsid w:val="00E254D1"/>
    <w:rsid w:val="00E27DBC"/>
    <w:rsid w:val="00E30592"/>
    <w:rsid w:val="00E3126E"/>
    <w:rsid w:val="00E34CA3"/>
    <w:rsid w:val="00E3555C"/>
    <w:rsid w:val="00E37401"/>
    <w:rsid w:val="00E41089"/>
    <w:rsid w:val="00E41386"/>
    <w:rsid w:val="00E41559"/>
    <w:rsid w:val="00E416AD"/>
    <w:rsid w:val="00E41BBF"/>
    <w:rsid w:val="00E4525E"/>
    <w:rsid w:val="00E51485"/>
    <w:rsid w:val="00E5175D"/>
    <w:rsid w:val="00E52118"/>
    <w:rsid w:val="00E5347F"/>
    <w:rsid w:val="00E5493A"/>
    <w:rsid w:val="00E55944"/>
    <w:rsid w:val="00E55ABC"/>
    <w:rsid w:val="00E56162"/>
    <w:rsid w:val="00E579FD"/>
    <w:rsid w:val="00E57B74"/>
    <w:rsid w:val="00E61A44"/>
    <w:rsid w:val="00E629EF"/>
    <w:rsid w:val="00E62D7D"/>
    <w:rsid w:val="00E6515F"/>
    <w:rsid w:val="00E6638D"/>
    <w:rsid w:val="00E66EE8"/>
    <w:rsid w:val="00E67867"/>
    <w:rsid w:val="00E71411"/>
    <w:rsid w:val="00E744CF"/>
    <w:rsid w:val="00E74F5B"/>
    <w:rsid w:val="00E75D7D"/>
    <w:rsid w:val="00E7660F"/>
    <w:rsid w:val="00E76D46"/>
    <w:rsid w:val="00E7716A"/>
    <w:rsid w:val="00E77D28"/>
    <w:rsid w:val="00E8321F"/>
    <w:rsid w:val="00E83D8E"/>
    <w:rsid w:val="00E85450"/>
    <w:rsid w:val="00E8629F"/>
    <w:rsid w:val="00E86D85"/>
    <w:rsid w:val="00E8779C"/>
    <w:rsid w:val="00E87BAC"/>
    <w:rsid w:val="00E92C2B"/>
    <w:rsid w:val="00E93697"/>
    <w:rsid w:val="00E95071"/>
    <w:rsid w:val="00E973BB"/>
    <w:rsid w:val="00E97E70"/>
    <w:rsid w:val="00EA1E1D"/>
    <w:rsid w:val="00EA2AC6"/>
    <w:rsid w:val="00EA336E"/>
    <w:rsid w:val="00EA3C24"/>
    <w:rsid w:val="00EA497A"/>
    <w:rsid w:val="00EA4D9F"/>
    <w:rsid w:val="00EA532D"/>
    <w:rsid w:val="00EA5997"/>
    <w:rsid w:val="00EA5E24"/>
    <w:rsid w:val="00EB0778"/>
    <w:rsid w:val="00EB29D4"/>
    <w:rsid w:val="00EB6167"/>
    <w:rsid w:val="00EB764D"/>
    <w:rsid w:val="00EB77FD"/>
    <w:rsid w:val="00EC032B"/>
    <w:rsid w:val="00EC1152"/>
    <w:rsid w:val="00EC3268"/>
    <w:rsid w:val="00EC4F41"/>
    <w:rsid w:val="00EC585B"/>
    <w:rsid w:val="00EC5D7A"/>
    <w:rsid w:val="00ED21BA"/>
    <w:rsid w:val="00ED3173"/>
    <w:rsid w:val="00ED4BD1"/>
    <w:rsid w:val="00ED739E"/>
    <w:rsid w:val="00EE2BDD"/>
    <w:rsid w:val="00EE5127"/>
    <w:rsid w:val="00EE55FE"/>
    <w:rsid w:val="00EE56F6"/>
    <w:rsid w:val="00EE5DF6"/>
    <w:rsid w:val="00EE78ED"/>
    <w:rsid w:val="00EF0F41"/>
    <w:rsid w:val="00EF27B8"/>
    <w:rsid w:val="00EF58B8"/>
    <w:rsid w:val="00EF7B20"/>
    <w:rsid w:val="00EF7D73"/>
    <w:rsid w:val="00F02B54"/>
    <w:rsid w:val="00F02B98"/>
    <w:rsid w:val="00F035EB"/>
    <w:rsid w:val="00F04129"/>
    <w:rsid w:val="00F04493"/>
    <w:rsid w:val="00F05D56"/>
    <w:rsid w:val="00F072D8"/>
    <w:rsid w:val="00F07D14"/>
    <w:rsid w:val="00F07F0E"/>
    <w:rsid w:val="00F10658"/>
    <w:rsid w:val="00F10DF7"/>
    <w:rsid w:val="00F1108A"/>
    <w:rsid w:val="00F1477C"/>
    <w:rsid w:val="00F14DCA"/>
    <w:rsid w:val="00F15871"/>
    <w:rsid w:val="00F256EA"/>
    <w:rsid w:val="00F27B32"/>
    <w:rsid w:val="00F31793"/>
    <w:rsid w:val="00F3253C"/>
    <w:rsid w:val="00F326BE"/>
    <w:rsid w:val="00F3423B"/>
    <w:rsid w:val="00F345DF"/>
    <w:rsid w:val="00F35B54"/>
    <w:rsid w:val="00F3688D"/>
    <w:rsid w:val="00F36EC6"/>
    <w:rsid w:val="00F42BD7"/>
    <w:rsid w:val="00F43AE4"/>
    <w:rsid w:val="00F43C50"/>
    <w:rsid w:val="00F45D78"/>
    <w:rsid w:val="00F47598"/>
    <w:rsid w:val="00F50634"/>
    <w:rsid w:val="00F50643"/>
    <w:rsid w:val="00F5097D"/>
    <w:rsid w:val="00F51A5B"/>
    <w:rsid w:val="00F526AF"/>
    <w:rsid w:val="00F532A1"/>
    <w:rsid w:val="00F54D91"/>
    <w:rsid w:val="00F55170"/>
    <w:rsid w:val="00F572E1"/>
    <w:rsid w:val="00F57D00"/>
    <w:rsid w:val="00F631D3"/>
    <w:rsid w:val="00F63976"/>
    <w:rsid w:val="00F6397F"/>
    <w:rsid w:val="00F63DA0"/>
    <w:rsid w:val="00F641AE"/>
    <w:rsid w:val="00F64B3E"/>
    <w:rsid w:val="00F65259"/>
    <w:rsid w:val="00F6548D"/>
    <w:rsid w:val="00F65E56"/>
    <w:rsid w:val="00F6634D"/>
    <w:rsid w:val="00F66D30"/>
    <w:rsid w:val="00F67D0C"/>
    <w:rsid w:val="00F73E7F"/>
    <w:rsid w:val="00F740E1"/>
    <w:rsid w:val="00F74299"/>
    <w:rsid w:val="00F75A4F"/>
    <w:rsid w:val="00F76B78"/>
    <w:rsid w:val="00F8043A"/>
    <w:rsid w:val="00F8045F"/>
    <w:rsid w:val="00F809EF"/>
    <w:rsid w:val="00F80B51"/>
    <w:rsid w:val="00F80E68"/>
    <w:rsid w:val="00F8150B"/>
    <w:rsid w:val="00F82D95"/>
    <w:rsid w:val="00F8381E"/>
    <w:rsid w:val="00F8498B"/>
    <w:rsid w:val="00F902C3"/>
    <w:rsid w:val="00F90C5C"/>
    <w:rsid w:val="00F90D35"/>
    <w:rsid w:val="00F9263D"/>
    <w:rsid w:val="00F92C85"/>
    <w:rsid w:val="00F95BC3"/>
    <w:rsid w:val="00F9767B"/>
    <w:rsid w:val="00FA149C"/>
    <w:rsid w:val="00FA1AAA"/>
    <w:rsid w:val="00FA2E4F"/>
    <w:rsid w:val="00FA3174"/>
    <w:rsid w:val="00FA5C95"/>
    <w:rsid w:val="00FB00A2"/>
    <w:rsid w:val="00FB1F97"/>
    <w:rsid w:val="00FB2B57"/>
    <w:rsid w:val="00FB3ACD"/>
    <w:rsid w:val="00FB3E77"/>
    <w:rsid w:val="00FB5DE6"/>
    <w:rsid w:val="00FB5E31"/>
    <w:rsid w:val="00FB6A6B"/>
    <w:rsid w:val="00FB72E6"/>
    <w:rsid w:val="00FC051F"/>
    <w:rsid w:val="00FC1B45"/>
    <w:rsid w:val="00FC1B7D"/>
    <w:rsid w:val="00FC1D8E"/>
    <w:rsid w:val="00FC2284"/>
    <w:rsid w:val="00FC2E47"/>
    <w:rsid w:val="00FC46BC"/>
    <w:rsid w:val="00FC5872"/>
    <w:rsid w:val="00FC5893"/>
    <w:rsid w:val="00FC5D0E"/>
    <w:rsid w:val="00FC6847"/>
    <w:rsid w:val="00FC69F5"/>
    <w:rsid w:val="00FC6AE2"/>
    <w:rsid w:val="00FC6E4F"/>
    <w:rsid w:val="00FC6F0F"/>
    <w:rsid w:val="00FD030E"/>
    <w:rsid w:val="00FD2517"/>
    <w:rsid w:val="00FD3818"/>
    <w:rsid w:val="00FD4AB4"/>
    <w:rsid w:val="00FD4DF8"/>
    <w:rsid w:val="00FD6178"/>
    <w:rsid w:val="00FE387D"/>
    <w:rsid w:val="00FE3C4C"/>
    <w:rsid w:val="00FE453B"/>
    <w:rsid w:val="00FE709C"/>
    <w:rsid w:val="00FE7925"/>
    <w:rsid w:val="00FE7E67"/>
    <w:rsid w:val="00FF225F"/>
    <w:rsid w:val="00FF32BA"/>
    <w:rsid w:val="00FF380C"/>
    <w:rsid w:val="00FF4498"/>
    <w:rsid w:val="00FF4951"/>
    <w:rsid w:val="00FF5C05"/>
    <w:rsid w:val="00FF71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C8D"/>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semiHidden/>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FA942-00AC-4D68-ABBB-9D01AFB8168C}">
  <ds:schemaRefs>
    <ds:schemaRef ds:uri="http://schemas.microsoft.com/office/2006/metadata/longProperties"/>
  </ds:schemaRefs>
</ds:datastoreItem>
</file>

<file path=customXml/itemProps2.xml><?xml version="1.0" encoding="utf-8"?>
<ds:datastoreItem xmlns:ds="http://schemas.openxmlformats.org/officeDocument/2006/customXml" ds:itemID="{997E475A-8896-4294-8174-960508650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4010</Words>
  <Characters>22861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2019-02-16T03:40:00Z</dcterms:created>
  <dcterms:modified xsi:type="dcterms:W3CDTF">2019-02-16T03:41:00Z</dcterms:modified>
</cp:coreProperties>
</file>